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F2D203" w14:textId="77777777" w:rsidR="006D1400" w:rsidRPr="0010430C" w:rsidRDefault="006D1400" w:rsidP="006D1400">
      <w:pPr>
        <w:spacing w:before="100" w:beforeAutospacing="1" w:after="100" w:afterAutospacing="1"/>
        <w:jc w:val="center"/>
        <w:outlineLvl w:val="0"/>
        <w:rPr>
          <w:rFonts w:ascii="Times New Roman" w:eastAsia="Times New Roman" w:hAnsi="Times New Roman" w:cs="Times New Roman"/>
          <w:b/>
          <w:bCs/>
          <w:color w:val="000000"/>
          <w:kern w:val="36"/>
          <w:lang w:eastAsia="en-GB"/>
          <w14:ligatures w14:val="none"/>
        </w:rPr>
      </w:pPr>
      <w:r w:rsidRPr="0010430C">
        <w:rPr>
          <w:rFonts w:ascii="Times New Roman" w:eastAsia="Times New Roman" w:hAnsi="Times New Roman" w:cs="Times New Roman"/>
          <w:b/>
          <w:bCs/>
          <w:color w:val="000000"/>
          <w:kern w:val="36"/>
          <w:lang w:eastAsia="en-GB"/>
          <w14:ligatures w14:val="none"/>
        </w:rPr>
        <w:t>The Investor's Rutter</w:t>
      </w:r>
    </w:p>
    <w:p w14:paraId="786F8877" w14:textId="77777777" w:rsidR="006D1400" w:rsidRPr="0010430C" w:rsidRDefault="006D1400" w:rsidP="006D1400">
      <w:pPr>
        <w:spacing w:before="100" w:beforeAutospacing="1" w:after="100" w:afterAutospacing="1"/>
        <w:jc w:val="center"/>
        <w:outlineLvl w:val="1"/>
        <w:rPr>
          <w:rFonts w:ascii="Times New Roman" w:eastAsia="Times New Roman" w:hAnsi="Times New Roman" w:cs="Times New Roman"/>
          <w:b/>
          <w:bCs/>
          <w:color w:val="000000"/>
          <w:kern w:val="0"/>
          <w:lang w:eastAsia="en-GB"/>
          <w14:ligatures w14:val="none"/>
        </w:rPr>
      </w:pPr>
      <w:r w:rsidRPr="0010430C">
        <w:rPr>
          <w:rFonts w:ascii="Times New Roman" w:eastAsia="Times New Roman" w:hAnsi="Times New Roman" w:cs="Times New Roman"/>
          <w:b/>
          <w:bCs/>
          <w:color w:val="000000"/>
          <w:kern w:val="0"/>
          <w:lang w:eastAsia="en-GB"/>
          <w14:ligatures w14:val="none"/>
        </w:rPr>
        <w:t>Translating Country Analysis into Investment Judgement</w:t>
      </w:r>
    </w:p>
    <w:p w14:paraId="69D33317" w14:textId="77777777" w:rsidR="006D1400" w:rsidRPr="0010430C" w:rsidRDefault="006D1400" w:rsidP="009125B8">
      <w:pPr>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Richard Marney and Philipp Waeber</w:t>
      </w:r>
    </w:p>
    <w:p w14:paraId="4517B127" w14:textId="3591AC46" w:rsidR="009125B8" w:rsidRPr="0010430C" w:rsidRDefault="009125B8" w:rsidP="009125B8">
      <w:pPr>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August 2026</w:t>
      </w:r>
    </w:p>
    <w:p w14:paraId="6E59A2DD" w14:textId="77777777" w:rsidR="006D1400" w:rsidRPr="0010430C" w:rsidRDefault="006D1400" w:rsidP="006D1400">
      <w:pPr>
        <w:spacing w:before="100" w:beforeAutospacing="1" w:after="100" w:afterAutospacing="1"/>
        <w:jc w:val="center"/>
        <w:rPr>
          <w:rFonts w:ascii="Times New Roman" w:eastAsia="Times New Roman" w:hAnsi="Times New Roman" w:cs="Times New Roman"/>
          <w:color w:val="000000"/>
          <w:kern w:val="0"/>
          <w:sz w:val="22"/>
          <w:szCs w:val="22"/>
          <w:lang w:eastAsia="en-GB"/>
          <w14:ligatures w14:val="none"/>
        </w:rPr>
      </w:pPr>
    </w:p>
    <w:p w14:paraId="665BEEEA" w14:textId="77777777" w:rsidR="006D1400" w:rsidRPr="0010430C" w:rsidRDefault="006D1400" w:rsidP="008359E9">
      <w:pPr>
        <w:spacing w:before="100" w:beforeAutospacing="1" w:after="100" w:afterAutospacing="1"/>
        <w:jc w:val="center"/>
        <w:outlineLvl w:val="1"/>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Introduction</w:t>
      </w:r>
    </w:p>
    <w:p w14:paraId="2E057080" w14:textId="77777777" w:rsidR="008359E9" w:rsidRPr="0010430C" w:rsidRDefault="008359E9" w:rsidP="008359E9">
      <w:pPr>
        <w:jc w:val="center"/>
        <w:outlineLvl w:val="1"/>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 xml:space="preserve">The investor's task is not to know the future, </w:t>
      </w:r>
    </w:p>
    <w:p w14:paraId="7544FCCE" w14:textId="0F8CF7A7" w:rsidR="008359E9" w:rsidRPr="0010430C" w:rsidRDefault="008359E9" w:rsidP="008359E9">
      <w:pPr>
        <w:jc w:val="center"/>
        <w:outlineLvl w:val="1"/>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but to judge it as best they can before it arrives.</w:t>
      </w:r>
    </w:p>
    <w:p w14:paraId="6FE986FC"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investment committee has reached the final agenda item. It must choose between two utility-scale renewable energy projects. Both require capital for more than twenty years. Both are technically sound, satisfy the fund's mandate and offer broadly similar projected financial returns. The principal difference lies in the countries in which they will operate. The committee has before it an impressive body of analysis. The economist believes Country A offers stronger long-term growth. The sovereign analyst prefers Country B's credit profile. The political-risk specialist argues that Country A's institutions are strengthening while Country B's are weakening. The legal adviser is concerned about regulatory stability. The climate specialist highlights different physical risks. The ESG adviser notes that Country B scores better today but that Country A is improving rapidly. The International Monetary Fund identifies fiscal vulnerabilities in one country, while the World Bank highlights implementation risks in the other. None of the analysis is obviously wrong. None, by itself, answers the committee's central question: Which investment should receive the capital?</w:t>
      </w:r>
    </w:p>
    <w:p w14:paraId="6CEC54AD" w14:textId="384A82EC"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Modern investors rarely suffer from a shortage of analysis. Economics, political science, institutional theory, </w:t>
      </w:r>
      <w:r w:rsidR="00D005C6" w:rsidRPr="0010430C">
        <w:rPr>
          <w:rFonts w:ascii="Times New Roman" w:eastAsia="Times New Roman" w:hAnsi="Times New Roman" w:cs="Times New Roman"/>
          <w:color w:val="000000"/>
          <w:kern w:val="0"/>
          <w:sz w:val="22"/>
          <w:szCs w:val="22"/>
          <w:lang w:eastAsia="en-GB"/>
          <w14:ligatures w14:val="none"/>
        </w:rPr>
        <w:t xml:space="preserve">law, </w:t>
      </w:r>
      <w:r w:rsidRPr="0010430C">
        <w:rPr>
          <w:rFonts w:ascii="Times New Roman" w:eastAsia="Times New Roman" w:hAnsi="Times New Roman" w:cs="Times New Roman"/>
          <w:color w:val="000000"/>
          <w:kern w:val="0"/>
          <w:sz w:val="22"/>
          <w:szCs w:val="22"/>
          <w:lang w:eastAsia="en-GB"/>
          <w14:ligatures w14:val="none"/>
        </w:rPr>
        <w:t>development studies, economic history and international relations all contribute important insights into how countries function and why they change. International organisations, sovereign-rating agencies, development finance institutions, investment banks and specialist consultancies add further layers of analysis. Yet investment decisions remain difficult. The problem has changed. Historically, information was often scarce. Today, analysis is abundant but increasingly specialised. Each discipline examines countries through its own lens and answers important questions, but none is designed to make the investment decision itself.</w:t>
      </w:r>
    </w:p>
    <w:p w14:paraId="417956AD" w14:textId="48B7F011"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Between country analysis and investment judgement lies a step that receives less attention: interpretation. Investors must bring together different forms of evidence, distinguish present condition</w:t>
      </w:r>
      <w:r w:rsidR="00D005C6" w:rsidRPr="0010430C">
        <w:rPr>
          <w:rFonts w:ascii="Times New Roman" w:eastAsia="Times New Roman" w:hAnsi="Times New Roman" w:cs="Times New Roman"/>
          <w:color w:val="000000"/>
          <w:kern w:val="0"/>
          <w:sz w:val="22"/>
          <w:szCs w:val="22"/>
          <w:lang w:eastAsia="en-GB"/>
          <w14:ligatures w14:val="none"/>
        </w:rPr>
        <w:t>s</w:t>
      </w:r>
      <w:r w:rsidRPr="0010430C">
        <w:rPr>
          <w:rFonts w:ascii="Times New Roman" w:eastAsia="Times New Roman" w:hAnsi="Times New Roman" w:cs="Times New Roman"/>
          <w:color w:val="000000"/>
          <w:kern w:val="0"/>
          <w:sz w:val="22"/>
          <w:szCs w:val="22"/>
          <w:lang w:eastAsia="en-GB"/>
          <w14:ligatures w14:val="none"/>
        </w:rPr>
        <w:t xml:space="preserve"> from long-term trajectory, assess forecasts and scenarios, identify the developments most likely to matter and translate them into an investment decision. These judgements cannot be derived mechanically from any individual model, report or discipline. They require a disciplined process. </w:t>
      </w:r>
      <w:r w:rsidR="00D005C6" w:rsidRPr="0010430C">
        <w:rPr>
          <w:rFonts w:ascii="Times New Roman" w:eastAsia="Times New Roman" w:hAnsi="Times New Roman" w:cs="Times New Roman"/>
          <w:color w:val="000000"/>
          <w:kern w:val="0"/>
          <w:sz w:val="22"/>
          <w:szCs w:val="22"/>
          <w:lang w:eastAsia="en-GB"/>
          <w14:ligatures w14:val="none"/>
        </w:rPr>
        <w:t>The Authors</w:t>
      </w:r>
      <w:r w:rsidRPr="0010430C">
        <w:rPr>
          <w:rFonts w:ascii="Times New Roman" w:eastAsia="Times New Roman" w:hAnsi="Times New Roman" w:cs="Times New Roman"/>
          <w:color w:val="000000"/>
          <w:kern w:val="0"/>
          <w:sz w:val="22"/>
          <w:szCs w:val="22"/>
          <w:lang w:eastAsia="en-GB"/>
          <w14:ligatures w14:val="none"/>
        </w:rPr>
        <w:t xml:space="preserve"> call that </w:t>
      </w:r>
      <w:r w:rsidR="00713444">
        <w:rPr>
          <w:rFonts w:ascii="Times New Roman" w:eastAsia="Times New Roman" w:hAnsi="Times New Roman" w:cs="Times New Roman"/>
          <w:color w:val="000000"/>
          <w:kern w:val="0"/>
          <w:sz w:val="22"/>
          <w:szCs w:val="22"/>
          <w:lang w:eastAsia="en-GB"/>
          <w14:ligatures w14:val="none"/>
        </w:rPr>
        <w:t>framework</w:t>
      </w:r>
      <w:r w:rsidRPr="0010430C">
        <w:rPr>
          <w:rFonts w:ascii="Times New Roman" w:eastAsia="Times New Roman" w:hAnsi="Times New Roman" w:cs="Times New Roman"/>
          <w:color w:val="000000"/>
          <w:kern w:val="0"/>
          <w:sz w:val="22"/>
          <w:szCs w:val="22"/>
          <w:lang w:eastAsia="en-GB"/>
          <w14:ligatures w14:val="none"/>
        </w:rPr>
        <w:t xml:space="preserve"> the Investor's Rutter.</w:t>
      </w:r>
    </w:p>
    <w:p w14:paraId="66FEFEFD"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name is borrowed from the navigational manuals used by medieval mariners. A rutter organised accumulated knowledge about coastlines, hazards, prevailing winds, currents and routes into a practical aid to navigation. It could not make the sea predictable, but it could make navigation more informed. Long-term investing presents a similar challenge. Investment is inherently forward-looking. Investors must form views about growth, policy, institutions, technology, markets and political conditions. Forecasts, scenarios and projections are therefore indispensable. Some developments can be anticipated with reasonable confidence. Others cannot. The problem is not prediction itself. It is knowing what can reasonably be predicted, with what degree of confidence, and what that prediction means for the investment decision.</w:t>
      </w:r>
    </w:p>
    <w:p w14:paraId="5F892F70" w14:textId="6CC15279" w:rsidR="006D1400" w:rsidRPr="0010430C" w:rsidRDefault="006D1400" w:rsidP="006D1400">
      <w:pPr>
        <w:spacing w:before="100" w:beforeAutospacing="1" w:after="100" w:afterAutospacing="1"/>
        <w:jc w:val="both"/>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lastRenderedPageBreak/>
        <w:t>The Investor's Rutter is not itself a forecasting model, country ranking or scoring system. It does not compete with economic forecasts, political analysis, sovereign ratings or specialist research. Instead, it provides an architecture within which such analysis can be organised, challenged and translated into judgement. Prediction informs judgement; it does not replace it. This paper is therefore written from the perspective of the investment committee rather than the individual specialist. Its central question is not simply, What does the analysis tell us? It is</w:t>
      </w:r>
      <w:r w:rsidR="00D005C6" w:rsidRPr="0010430C">
        <w:rPr>
          <w:rFonts w:ascii="Times New Roman" w:eastAsia="Times New Roman" w:hAnsi="Times New Roman" w:cs="Times New Roman"/>
          <w:color w:val="000000"/>
          <w:kern w:val="0"/>
          <w:sz w:val="22"/>
          <w:szCs w:val="22"/>
          <w:lang w:eastAsia="en-GB"/>
          <w14:ligatures w14:val="none"/>
        </w:rPr>
        <w:t xml:space="preserve"> - </w:t>
      </w:r>
      <w:r w:rsidR="00D005C6" w:rsidRPr="0010430C">
        <w:rPr>
          <w:rFonts w:ascii="Times New Roman" w:eastAsia="Times New Roman" w:hAnsi="Times New Roman" w:cs="Times New Roman"/>
          <w:i/>
          <w:iCs/>
          <w:color w:val="000000"/>
          <w:kern w:val="0"/>
          <w:sz w:val="22"/>
          <w:szCs w:val="22"/>
          <w:lang w:eastAsia="en-GB"/>
          <w14:ligatures w14:val="none"/>
        </w:rPr>
        <w:t>w</w:t>
      </w:r>
      <w:r w:rsidRPr="0010430C">
        <w:rPr>
          <w:rFonts w:ascii="Times New Roman" w:eastAsia="Times New Roman" w:hAnsi="Times New Roman" w:cs="Times New Roman"/>
          <w:i/>
          <w:iCs/>
          <w:color w:val="000000"/>
          <w:kern w:val="0"/>
          <w:sz w:val="22"/>
          <w:szCs w:val="22"/>
          <w:lang w:eastAsia="en-GB"/>
          <w14:ligatures w14:val="none"/>
        </w:rPr>
        <w:t>hat does the analysis mean for the investment decision?</w:t>
      </w:r>
    </w:p>
    <w:p w14:paraId="2CEDBB5F" w14:textId="5FDF8053"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This paper accompanies</w:t>
      </w:r>
      <w:r w:rsidR="00D005C6" w:rsidRPr="0010430C">
        <w:rPr>
          <w:rFonts w:ascii="Times New Roman" w:eastAsia="Times New Roman" w:hAnsi="Times New Roman" w:cs="Times New Roman"/>
          <w:color w:val="000000"/>
          <w:kern w:val="0"/>
          <w:sz w:val="22"/>
          <w:szCs w:val="22"/>
          <w:lang w:eastAsia="en-GB"/>
          <w14:ligatures w14:val="none"/>
        </w:rPr>
        <w:t xml:space="preserve"> our book</w:t>
      </w:r>
      <w:r w:rsidRPr="0010430C">
        <w:rPr>
          <w:rFonts w:ascii="Times New Roman" w:eastAsia="Times New Roman" w:hAnsi="Times New Roman" w:cs="Times New Roman"/>
          <w:color w:val="000000"/>
          <w:kern w:val="0"/>
          <w:sz w:val="22"/>
          <w:szCs w:val="22"/>
          <w:lang w:eastAsia="en-GB"/>
          <w14:ligatures w14:val="none"/>
        </w:rPr>
        <w:t> </w:t>
      </w:r>
      <w:r w:rsidRPr="0010430C">
        <w:rPr>
          <w:rFonts w:ascii="Times New Roman" w:eastAsia="Times New Roman" w:hAnsi="Times New Roman" w:cs="Times New Roman"/>
          <w:i/>
          <w:iCs/>
          <w:color w:val="000000"/>
          <w:kern w:val="0"/>
          <w:sz w:val="22"/>
          <w:szCs w:val="22"/>
          <w:lang w:eastAsia="en-GB"/>
          <w14:ligatures w14:val="none"/>
        </w:rPr>
        <w:t>The Emerging Market Investor's Guide to Country Risk</w:t>
      </w:r>
      <w:r w:rsidR="00D005C6" w:rsidRPr="0010430C">
        <w:rPr>
          <w:rFonts w:ascii="Times New Roman" w:eastAsia="Times New Roman" w:hAnsi="Times New Roman" w:cs="Times New Roman"/>
          <w:color w:val="000000"/>
          <w:kern w:val="0"/>
          <w:sz w:val="22"/>
          <w:szCs w:val="22"/>
          <w:lang w:eastAsia="en-GB"/>
          <w14:ligatures w14:val="none"/>
        </w:rPr>
        <w:t xml:space="preserve">, which </w:t>
      </w:r>
      <w:r w:rsidRPr="0010430C">
        <w:rPr>
          <w:rFonts w:ascii="Times New Roman" w:eastAsia="Times New Roman" w:hAnsi="Times New Roman" w:cs="Times New Roman"/>
          <w:color w:val="000000"/>
          <w:kern w:val="0"/>
          <w:sz w:val="22"/>
          <w:szCs w:val="22"/>
          <w:lang w:eastAsia="en-GB"/>
          <w14:ligatures w14:val="none"/>
        </w:rPr>
        <w:t>examines country risk in depth</w:t>
      </w:r>
      <w:r w:rsidR="00D005C6" w:rsidRPr="0010430C">
        <w:rPr>
          <w:rFonts w:ascii="Times New Roman" w:eastAsia="Times New Roman" w:hAnsi="Times New Roman" w:cs="Times New Roman"/>
          <w:color w:val="000000"/>
          <w:kern w:val="0"/>
          <w:sz w:val="22"/>
          <w:szCs w:val="22"/>
          <w:lang w:eastAsia="en-GB"/>
          <w14:ligatures w14:val="none"/>
        </w:rPr>
        <w:t xml:space="preserve"> and introduces the Investor’s Rutter</w:t>
      </w:r>
      <w:r w:rsidRPr="0010430C">
        <w:rPr>
          <w:rFonts w:ascii="Times New Roman" w:eastAsia="Times New Roman" w:hAnsi="Times New Roman" w:cs="Times New Roman"/>
          <w:color w:val="000000"/>
          <w:kern w:val="0"/>
          <w:sz w:val="22"/>
          <w:szCs w:val="22"/>
          <w:lang w:eastAsia="en-GB"/>
          <w14:ligatures w14:val="none"/>
        </w:rPr>
        <w:t>. This paper has a narrower purpose: to explain how investors can translate specialised country analysis into disciplined investment judgement. Good country analysis is essential, but it is not enough.</w:t>
      </w:r>
    </w:p>
    <w:p w14:paraId="54FCCE5B" w14:textId="5E88DC8F"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1 - </w:t>
      </w:r>
      <w:r w:rsidRPr="0010430C">
        <w:rPr>
          <w:rFonts w:ascii="Times New Roman" w:eastAsia="Times New Roman" w:hAnsi="Times New Roman" w:cs="Times New Roman"/>
          <w:b/>
          <w:bCs/>
          <w:color w:val="000000"/>
          <w:kern w:val="0"/>
          <w:sz w:val="22"/>
          <w:szCs w:val="22"/>
          <w:lang w:eastAsia="en-GB"/>
          <w14:ligatures w14:val="none"/>
        </w:rPr>
        <w:t>Judgement Under Uncertainty</w:t>
      </w:r>
    </w:p>
    <w:p w14:paraId="6028AF0D" w14:textId="5635C2F1" w:rsidR="006D1400" w:rsidRPr="0010430C" w:rsidRDefault="006D1400" w:rsidP="008359E9">
      <w:pPr>
        <w:spacing w:before="100" w:beforeAutospacing="1" w:after="100" w:afterAutospacing="1"/>
        <w:jc w:val="center"/>
        <w:outlineLvl w:val="1"/>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Prediction informs investment judgement. It does not replace it.</w:t>
      </w:r>
    </w:p>
    <w:p w14:paraId="13D071B3"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1.1 Every Investment Begins with a Choice</w:t>
      </w:r>
    </w:p>
    <w:p w14:paraId="188CB7D9" w14:textId="77777777" w:rsidR="003E5FC8" w:rsidRPr="0010430C" w:rsidRDefault="006D1400"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In 1965, </w:t>
      </w:r>
      <w:r w:rsidR="003E5FC8" w:rsidRPr="0010430C">
        <w:rPr>
          <w:rFonts w:ascii="Times New Roman" w:eastAsia="Times New Roman" w:hAnsi="Times New Roman" w:cs="Times New Roman"/>
          <w:color w:val="000000"/>
          <w:kern w:val="0"/>
          <w:sz w:val="22"/>
          <w:szCs w:val="22"/>
          <w:lang w:eastAsia="en-GB"/>
          <w14:ligatures w14:val="none"/>
        </w:rPr>
        <w:t>an international investor considering long-term opportunities in the developing world faced a difficult decision. Capital was available for only one investment. Two countries were under consideration: Singapore or Sri Lanka. Singapore presented an uncertain proposition. It possessed few natural resources, its domestic market was small and unemployment was high. Separation from Malaysia had created political and economic uncertainty, while regional tensions complicated the outlook. Many contemporary observers questioned whether the new state could achieve sustained economic success. Sri Lanka appeared to offer a stronger foundation. It inherited an experienced civil service, comparatively high educational attainment, functioning democratic institutions and an established export economy. These were substantial advantages, and an investor choosing Sri Lanka would hardly have appeared unreasonable.</w:t>
      </w:r>
    </w:p>
    <w:p w14:paraId="6975B5A1" w14:textId="77777777" w:rsidR="003E5FC8" w:rsidRPr="0010430C" w:rsidRDefault="003E5FC8"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same exercise can be repeated elsewhere. Zambia possessed one of Africa's largest copper industries and appeared well positioned to finance economic development. Botswana was one of the poorest countries on the continent, with limited infrastructure and administrative capacity. History ultimately produced outcomes that many observers in 1965 would not have expected. That does not mean that the correct investment decision should have been obvious at the time. It was not.</w:t>
      </w:r>
    </w:p>
    <w:p w14:paraId="63C5CB5C" w14:textId="77777777" w:rsidR="003E5FC8" w:rsidRPr="0010430C" w:rsidRDefault="003E5FC8"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Investment decisions are made before history has been written. The investor sees current conditions, observable trends and incomplete evidence. Some forces are visible. Others are only beginning to emerge, and their significance may be uncertain. Singapore's vulnerabilities were obvious, but some of its future strengths were less so. Political leadership, administrative capability, policy discipline and adaptability would later prove central to its success. These characteristics were visible in embryonic form, but their future importance could not be known with certainty. Sri Lanka presented the opposite problem. Its strengths were clear, yet policy was becoming more interventionist, political competition increasingly reflected ethnic and linguistic divisions, and pressure on institutions was growing. None of these developments made later underperformance inevitable, but they were relevant signals.</w:t>
      </w:r>
    </w:p>
    <w:p w14:paraId="36177B83" w14:textId="77777777" w:rsidR="003E5FC8" w:rsidRPr="0010430C" w:rsidRDefault="003E5FC8"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contrast between Botswana and Zambia posed a similar problem. Botswana's poverty and limited infrastructure were readily observable, while the potential significance of political stability, fiscal restraint and emerging institutional discipline was much harder to value. Zambia's copper wealth offered an obvious source of income and investment, but it also created dependence on a single commodity and increased the importance of how resource revenues would be managed. Again, neither country's subsequent trajectory was predetermined. But beneath the visible differences in wealth and productive capacity were differences in institutions, incentives and policy choices that would become increasingly important over time.</w:t>
      </w:r>
    </w:p>
    <w:p w14:paraId="3DEA2A6E" w14:textId="77777777" w:rsidR="003E5FC8" w:rsidRPr="0010430C" w:rsidRDefault="003E5FC8"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lastRenderedPageBreak/>
        <w:t>The investor's task was therefore neither to predict perfectly nor to avoid prediction. It was to form the best forward-looking judgement possible from the evidence available at the time.</w:t>
      </w:r>
    </w:p>
    <w:p w14:paraId="21F0DA8F" w14:textId="5B6A8FA2" w:rsidR="006D1400" w:rsidRPr="0010430C" w:rsidRDefault="006D1400" w:rsidP="003E5FC8">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p>
    <w:p w14:paraId="2FFD6CAD"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1.2 Prediction Is Possible. Certainty Is Not.</w:t>
      </w:r>
    </w:p>
    <w:p w14:paraId="283F02B0"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Investment cannot escape prediction. A bond investor forms a view about the likelihood of repayment. An infrastructure investor forms a view about regulation over the life of the project. A bank considering a twenty-year commitment implicitly forecasts economic activity, political stability and the functioning of institutions. A private-equity investor forms expectations about demand, competition, technology and exit conditions. The relevant distinction is therefore not between prediction and judgement. It is between prediction and certainty.</w:t>
      </w:r>
    </w:p>
    <w:p w14:paraId="1456EB9D"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Some developments can be forecast with considerable confidence. Demographic ageing already embedded in a country's population structure is relatively predictable. Debt-service requirements arising from an existing maturity profile can be calculated. Infrastructure under construction may materially alter connectivity. Institutional reforms sustained across successive administrations may provide evidence of direction. Other developments are much harder to anticipate. Elections surprise. Wars begin. Technologies develop faster than expected. Commodity prices move sharply. Political leaders change direction.</w:t>
      </w:r>
    </w:p>
    <w:p w14:paraId="6599990F"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Forecasts also differ in quality. Some rest on relatively stable relationships and substantial evidence. Others depend upon assumptions that are fragile or contested. The investor must therefore ask three questions: What are we predicting? How confident should we be? How much does the investment depend upon that prediction being correct? This is where judgement becomes essential. The objective is not to reject forecasts because they may be wrong, nor to accept them because they are expressed numerically. It is to understand their evidential basis, their sensitivity to assumptions and their relevance to the investment. A useful investment process therefore combines forecasting with humility.</w:t>
      </w:r>
    </w:p>
    <w:p w14:paraId="61EA8596"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hAnsi="Times New Roman" w:cs="Times New Roman"/>
          <w:sz w:val="22"/>
          <w:szCs w:val="22"/>
        </w:rPr>
        <w:t>The distinction can be made concrete. An investor considering a twenty-year infrastructure project may have high confidence that the host country's population will age, moderate confidence that the energy transition will alter the composition of power generation, and much lower confidence about the identity or policy priorities of the government ten years hence. All three expectations are relevant, but they should not carry the same weight. The first may reasonably form part of the base case; the second may be tested through alternative scenarios; the third may be better addressed through contractual protection, pricing or a structure that remains viable under different political outcomes. The practical question is therefore not simply whether something can be forecast, but how the degree of confidence attached to the forecast should affect the investment.</w:t>
      </w:r>
    </w:p>
    <w:p w14:paraId="5091C909"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1.3 History Judges Outcomes. Investors Must Judge Decisions.</w:t>
      </w:r>
    </w:p>
    <w:p w14:paraId="03DA5064"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Knowing what subsequently happened, it is easy to conclude that Singapore was the "correct" choice over Sri Lanka, or Botswana over Zambia. That conclusion confuses outcome with decision quality. A carefully reasoned decision can produce a poor outcome because an unforeseeable event intervenes. A poorly reasoned decision can occasionally succeed because circumstances turn out favourably.</w:t>
      </w:r>
    </w:p>
    <w:p w14:paraId="694AB1F1"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Investment decisions should therefore be assessed partly by the quality of the process that produced them. Were the relevant facts considered? Were assumptions made explicit? Were alternative explanations tested? Were forecasts assigned appropriate confidence? Were the consequences of being wrong understood? This does not mean outcomes are irrelevant. Outcomes eventually provide essential evidence about whether assumptions and models were sound. But hindsight should not create the illusion that the future was fully knowable when the decision was made.</w:t>
      </w:r>
    </w:p>
    <w:p w14:paraId="71994B6E"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lastRenderedPageBreak/>
        <w:t>The navigational metaphor is useful. A navigator considers today's weather, forecasts tomorrow's conditions and studies the winds and currents likely to affect the vessel. Some information is highly reliable. Some is probabilistic. Conditions may change. Country investing is similar. The weather consists of immediate events: elections, crises, policy announcements and market volatility. The prevailing winds include global interest rates, trade, geopolitics, technology and commodity cycles. Beneath them lie slower-moving currents: geography, demography, institutions, state capacity and political incentives. The investor wants to know not merely where the country stands today, but what</w:t>
      </w:r>
      <w:r w:rsidRPr="0010430C">
        <w:rPr>
          <w:rFonts w:ascii="Times New Roman" w:eastAsia="Times New Roman" w:hAnsi="Times New Roman" w:cs="Times New Roman"/>
          <w:b/>
          <w:bCs/>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forces are acting upon it and where they are likely to carry it. Condition is not trajectory, and trajectory is itself a forward-looking judgement.</w:t>
      </w:r>
    </w:p>
    <w:p w14:paraId="79E691E1" w14:textId="77777777" w:rsidR="0010430C" w:rsidRPr="0010430C" w:rsidRDefault="0010430C" w:rsidP="0010430C">
      <w:pPr>
        <w:spacing w:before="100" w:beforeAutospacing="1" w:after="100" w:afterAutospacing="1"/>
        <w:jc w:val="center"/>
        <w:rPr>
          <w:rFonts w:ascii="Times New Roman" w:hAnsi="Times New Roman" w:cs="Times New Roman"/>
          <w:b/>
          <w:bCs/>
          <w:color w:val="000000"/>
        </w:rPr>
      </w:pPr>
      <w:r w:rsidRPr="0010430C">
        <w:rPr>
          <w:rFonts w:ascii="Times New Roman" w:hAnsi="Times New Roman" w:cs="Times New Roman"/>
          <w:b/>
          <w:bCs/>
          <w:color w:val="000000"/>
        </w:rPr>
        <w:t>Chapter 2 – From Country Analysis to Investment Judgement</w:t>
      </w:r>
    </w:p>
    <w:p w14:paraId="1EA0D2EB" w14:textId="7A61181A" w:rsidR="0010430C" w:rsidRPr="0010430C" w:rsidRDefault="0010430C" w:rsidP="0010430C">
      <w:pPr>
        <w:spacing w:before="100" w:beforeAutospacing="1" w:after="100" w:afterAutospacing="1"/>
        <w:jc w:val="center"/>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Analysis produces knowledge. Investors must produce decisions.</w:t>
      </w:r>
    </w:p>
    <w:p w14:paraId="1AC83453" w14:textId="77777777" w:rsidR="0010430C" w:rsidRPr="0010430C" w:rsidRDefault="0010430C" w:rsidP="0010430C">
      <w:pPr>
        <w:spacing w:before="100" w:beforeAutospacing="1" w:after="100" w:afterAutospacing="1"/>
        <w:outlineLvl w:val="1"/>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2.1 More Analysis Has Not Made Judgement Easier</w:t>
      </w:r>
    </w:p>
    <w:p w14:paraId="0D8C1B6A"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Country analysis has become extraordinarily sophisticated. Economists explain growth, inflation and macroeconomic stability. Political scientists examine institutions, governance and state capacity. Development specialists analyse structural transformation and reform. Economic historians provide long-term perspective. International organisations assess fiscal sustainability, financial stability and external vulnerability. Sovereign-rating agencies, banks and specialist consultancies add further analysis.</w:t>
      </w:r>
    </w:p>
    <w:p w14:paraId="53045B04"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problem is not the quality of the individual analysis, but what happens when different forms of analysis must be brought together. Investment committees must decide which factors matter most, which developments are likely to persist, what may change and how much confidence to place in competing assessments. Better analysis therefore does not remove the need for judgement. It increases the importance of integration.</w:t>
      </w:r>
    </w:p>
    <w:p w14:paraId="69249A6B" w14:textId="77777777" w:rsidR="0010430C" w:rsidRPr="0010430C" w:rsidRDefault="0010430C" w:rsidP="0010430C">
      <w:pPr>
        <w:spacing w:before="100" w:beforeAutospacing="1" w:after="100" w:afterAutospacing="1"/>
        <w:outlineLvl w:val="1"/>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2.2 Analysis Explains. Investment Requires a Decision.</w:t>
      </w:r>
    </w:p>
    <w:p w14:paraId="3C44DF47"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Analysis provides the building blocks. Judgement determines how they are assembled. The investment committee must answer questions that individual disciplines are not normally designed to resolve. Which factors matter most for this investment? Which trends are likely to persist? Which forecasts deserve the greatest confidence? Which risks are temporary and which are structural? What assumptions must hold for the investment to succeed? What happens if those assumptions are wrong?</w:t>
      </w:r>
    </w:p>
    <w:p w14:paraId="3936698E"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These are investment questions. Different specialists may provide much of the evidence needed to answer them, but the committee must determine how that evidence fits together and what it means for the decision. Disagreement can be useful because it exposes assumptions that require testing. The problem arises when there is no common structure for resolving it.</w:t>
      </w:r>
    </w:p>
    <w:p w14:paraId="777C405A" w14:textId="77777777" w:rsidR="0010430C" w:rsidRPr="0010430C" w:rsidRDefault="0010430C" w:rsidP="0010430C">
      <w:pPr>
        <w:spacing w:before="100" w:beforeAutospacing="1" w:after="100" w:afterAutospacing="1"/>
        <w:outlineLvl w:val="1"/>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2.3 The Integration Problem</w:t>
      </w:r>
    </w:p>
    <w:p w14:paraId="74BDBFBE"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Consider two proposed export-oriented manufacturing investments. Country A has strengthened steadily over the past decade. Macroeconomic management has improved, public debt remains sustainable and the operating environment has become more predictable. Infrastructure and administrative capacity have improved, while successive governments have broadly maintained an open approach to investment and trade. Institutions remain imperfect, but their direction is positive.</w:t>
      </w:r>
    </w:p>
    <w:p w14:paraId="2E71D063"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Country B currently offers stronger economic growth, lower production costs and attractive investment incentives. Public finances appear sound. Yet elections are approaching, political </w:t>
      </w:r>
      <w:r w:rsidRPr="0010430C">
        <w:rPr>
          <w:rFonts w:ascii="Times New Roman" w:eastAsia="Times New Roman" w:hAnsi="Times New Roman" w:cs="Times New Roman"/>
          <w:color w:val="000000"/>
          <w:kern w:val="0"/>
          <w:sz w:val="22"/>
          <w:szCs w:val="22"/>
          <w:lang w:eastAsia="en-GB"/>
          <w14:ligatures w14:val="none"/>
        </w:rPr>
        <w:lastRenderedPageBreak/>
        <w:t>competition has become more polarised, regulatory decisions less predictable and confidence in key institutions weaker.</w:t>
      </w:r>
    </w:p>
    <w:p w14:paraId="5F544340"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economist prefers Country B's stronger growth and lower costs. The political-risk specialist prefers Country A's institutional trajectory. The legal adviser questions the durability of Country B's investment incentives and regulatory protections. The operations team sees advantages in Country B's cost structure but greater execution risk. The ESG team notes that Country B performs better on several current indicators, while Country A has shown more sustained improvement.</w:t>
      </w:r>
    </w:p>
    <w:p w14:paraId="3EA4CD8F"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These assessments answer different questions. Growth forecasts describe one part of the operating environment. Political analysis considers another. Legal analysis examines the durability and enforceability of protections. Operational analysis focuses on the conditions under which the investment must function. None, by itself, determines which country offers the better investment proposition.</w:t>
      </w:r>
    </w:p>
    <w:p w14:paraId="536EC296"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committee must therefore integrate these different forms of evidence into a judgement about risk, return and resilience. This requires attention to both </w:t>
      </w:r>
      <w:r w:rsidRPr="0010430C">
        <w:rPr>
          <w:rFonts w:ascii="Times New Roman" w:eastAsia="Times New Roman" w:hAnsi="Times New Roman" w:cs="Times New Roman"/>
          <w:b/>
          <w:bCs/>
          <w:color w:val="000000"/>
          <w:kern w:val="0"/>
          <w:sz w:val="22"/>
          <w:szCs w:val="22"/>
          <w:lang w:eastAsia="en-GB"/>
          <w14:ligatures w14:val="none"/>
        </w:rPr>
        <w:t>condition and trajectory</w:t>
      </w:r>
      <w:r w:rsidRPr="0010430C">
        <w:rPr>
          <w:rFonts w:ascii="Times New Roman" w:eastAsia="Times New Roman" w:hAnsi="Times New Roman" w:cs="Times New Roman"/>
          <w:color w:val="000000"/>
          <w:kern w:val="0"/>
          <w:sz w:val="22"/>
          <w:szCs w:val="22"/>
          <w:lang w:eastAsia="en-GB"/>
          <w14:ligatures w14:val="none"/>
        </w:rPr>
        <w:t>. Country B may look stronger today, but its advantages may not persist if regulatory predictability deteriorates or policy becomes less consistent. Country A may appear less compelling on some current measures, yet improving institutions and greater policy consistency may make its investment environment more resilient over time.</w:t>
      </w:r>
    </w:p>
    <w:p w14:paraId="5B2BD3F3"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This matters because investment returns are generated in the future, not the present. A factory built today may operate for decades. Its economics will depend not only on current wages, incentives and growth rates, but on future exchange-rate stability, infrastructure reliability, taxation, trade policy, regulation and the government's treatment of investors. Some of these can be modelled with reasonable confidence. Others require judgement.</w:t>
      </w:r>
    </w:p>
    <w:p w14:paraId="3B6EFADA"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Nor do these factors operate independently. Political deterioration may weaken fiscal discipline. Fiscal pressure may encourage higher taxation or changes to investment incentives. Institutional weakness may make those changes less predictable. Currency pressure may raise imported input costs and debt-service burdens. A political or institutional concern can therefore migrate into cash flow, leverage and ultimately investment returns.</w:t>
      </w:r>
    </w:p>
    <w:p w14:paraId="2B9A546A"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That is the integration problem. Country analysis cannot end with a collection of specialist assessments, nor can the committee simply average them. It must decide which forces matter most for the investment, how they are changing, how they interact and how much confidence to place in its expectations about them.</w:t>
      </w:r>
    </w:p>
    <w:p w14:paraId="5AA52A77" w14:textId="77777777" w:rsidR="0010430C" w:rsidRPr="0010430C" w:rsidRDefault="0010430C" w:rsidP="0010430C">
      <w:pPr>
        <w:spacing w:before="100" w:beforeAutospacing="1" w:after="100" w:afterAutospacing="1"/>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Investment committees rarely lack information or expertise. Their harder task is to convert both into judgement.</w:t>
      </w:r>
    </w:p>
    <w:p w14:paraId="180D7A5D" w14:textId="4682E705"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3 - </w:t>
      </w:r>
      <w:r w:rsidRPr="0010430C">
        <w:rPr>
          <w:rFonts w:ascii="Times New Roman" w:eastAsia="Times New Roman" w:hAnsi="Times New Roman" w:cs="Times New Roman"/>
          <w:b/>
          <w:bCs/>
          <w:color w:val="000000"/>
          <w:kern w:val="0"/>
          <w:sz w:val="22"/>
          <w:szCs w:val="22"/>
          <w:lang w:eastAsia="en-GB"/>
          <w14:ligatures w14:val="none"/>
        </w:rPr>
        <w:t>The Investor's Rutter: A Framework for Investment Judgement</w:t>
      </w:r>
    </w:p>
    <w:p w14:paraId="581BFD80" w14:textId="4BF9EB67"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A framework provides structure. Judgement provides the decision.</w:t>
      </w:r>
    </w:p>
    <w:p w14:paraId="44D90EC9"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3.1 Why a Framework?</w:t>
      </w:r>
    </w:p>
    <w:p w14:paraId="56191574" w14:textId="6F0E1212" w:rsidR="006D1400" w:rsidRPr="0010430C" w:rsidRDefault="003C543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Every experienced investor already has a framework, even if they think of it simply as their “toolbox” </w:t>
      </w:r>
      <w:r w:rsidR="006D1400" w:rsidRPr="0010430C">
        <w:rPr>
          <w:rFonts w:ascii="Times New Roman" w:eastAsia="Times New Roman" w:hAnsi="Times New Roman" w:cs="Times New Roman"/>
          <w:color w:val="000000"/>
          <w:kern w:val="0"/>
          <w:sz w:val="22"/>
          <w:szCs w:val="22"/>
          <w:lang w:eastAsia="en-GB"/>
          <w14:ligatures w14:val="none"/>
        </w:rPr>
        <w:t xml:space="preserve">Sometimes it is explicit: a documented investment process, risk taxonomy or committee methodology. Sometimes it is implicit: accumulated experience, mental models and established ways of testing propositions. Both can work. The advantage of an explicit framework is that it can be examined, </w:t>
      </w:r>
      <w:r w:rsidR="006D1400" w:rsidRPr="0010430C">
        <w:rPr>
          <w:rFonts w:ascii="Times New Roman" w:eastAsia="Times New Roman" w:hAnsi="Times New Roman" w:cs="Times New Roman"/>
          <w:color w:val="000000"/>
          <w:kern w:val="0"/>
          <w:sz w:val="22"/>
          <w:szCs w:val="22"/>
          <w:lang w:eastAsia="en-GB"/>
          <w14:ligatures w14:val="none"/>
        </w:rPr>
        <w:lastRenderedPageBreak/>
        <w:t>challenged, refined and applied consistently. Assumptions become easier to identify. Different forms of evidence can be brought together systematically. Disagreement becomes easier to locate.</w:t>
      </w:r>
    </w:p>
    <w:p w14:paraId="27C823F2" w14:textId="77777777" w:rsidR="003C5430" w:rsidRPr="0010430C" w:rsidRDefault="003C5430" w:rsidP="003C543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 this paper, Outcomes refers to the macroeconomic and financial results produced by the interaction of Endowments, Enablers and Context—for example, growth, inflation, fiscal performance, external balances and financial stability. In the book, Outcome is used more narrowly for the ultimate performance of the investment itself. The distinction is deliberate: macro outcomes form part of the environment through which country conditions are transmitted to investment outcomes.</w:t>
      </w:r>
    </w:p>
    <w:p w14:paraId="456E8FEA" w14:textId="77777777" w:rsidR="003C5430" w:rsidRPr="0010430C" w:rsidRDefault="003C543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p>
    <w:p w14:paraId="1B58D437" w14:textId="08D3012E"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A useful framework should therefore do four things. </w:t>
      </w:r>
      <w:r w:rsidR="00AE4144" w:rsidRPr="0010430C">
        <w:rPr>
          <w:rFonts w:ascii="Times New Roman" w:eastAsia="Times New Roman" w:hAnsi="Times New Roman" w:cs="Times New Roman"/>
          <w:color w:val="000000"/>
          <w:kern w:val="0"/>
          <w:sz w:val="22"/>
          <w:szCs w:val="22"/>
          <w:lang w:eastAsia="en-GB"/>
          <w14:ligatures w14:val="none"/>
        </w:rPr>
        <w:t>it should:</w:t>
      </w:r>
      <w:r w:rsidR="00AE4144" w:rsidRPr="0010430C">
        <w:rPr>
          <w:rFonts w:ascii="Times New Roman" w:eastAsia="Times New Roman" w:hAnsi="Times New Roman" w:cs="Times New Roman"/>
          <w:i/>
          <w:iCs/>
          <w:color w:val="000000"/>
          <w:kern w:val="0"/>
          <w:sz w:val="22"/>
          <w:szCs w:val="22"/>
          <w:lang w:eastAsia="en-GB"/>
          <w14:ligatures w14:val="none"/>
        </w:rPr>
        <w:t xml:space="preserve"> first,</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integrate different forms of knowledge</w:t>
      </w:r>
      <w:r w:rsidR="00AE4144" w:rsidRPr="0010430C">
        <w:rPr>
          <w:rFonts w:ascii="Times New Roman" w:eastAsia="Times New Roman" w:hAnsi="Times New Roman" w:cs="Times New Roman"/>
          <w:color w:val="000000"/>
          <w:kern w:val="0"/>
          <w:sz w:val="22"/>
          <w:szCs w:val="22"/>
          <w:lang w:eastAsia="en-GB"/>
          <w14:ligatures w14:val="none"/>
        </w:rPr>
        <w:t>;</w:t>
      </w:r>
      <w:r w:rsidRPr="0010430C">
        <w:rPr>
          <w:rFonts w:ascii="Times New Roman" w:eastAsia="Times New Roman" w:hAnsi="Times New Roman" w:cs="Times New Roman"/>
          <w:color w:val="000000"/>
          <w:kern w:val="0"/>
          <w:sz w:val="22"/>
          <w:szCs w:val="22"/>
          <w:lang w:eastAsia="en-GB"/>
          <w14:ligatures w14:val="none"/>
        </w:rPr>
        <w:t xml:space="preserve"> </w:t>
      </w:r>
      <w:r w:rsidR="00AE4144" w:rsidRPr="0010430C">
        <w:rPr>
          <w:rFonts w:ascii="Times New Roman" w:eastAsia="Times New Roman" w:hAnsi="Times New Roman" w:cs="Times New Roman"/>
          <w:i/>
          <w:iCs/>
          <w:color w:val="000000"/>
          <w:kern w:val="0"/>
          <w:sz w:val="22"/>
          <w:szCs w:val="22"/>
          <w:lang w:eastAsia="en-GB"/>
          <w14:ligatures w14:val="none"/>
        </w:rPr>
        <w:t>second</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distinguish evidence from assumption</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00AE4144" w:rsidRPr="0010430C">
        <w:rPr>
          <w:rFonts w:ascii="Times New Roman" w:eastAsia="Times New Roman" w:hAnsi="Times New Roman" w:cs="Times New Roman"/>
          <w:i/>
          <w:iCs/>
          <w:color w:val="000000"/>
          <w:kern w:val="0"/>
          <w:sz w:val="22"/>
          <w:szCs w:val="22"/>
          <w:lang w:eastAsia="en-GB"/>
          <w14:ligatures w14:val="none"/>
        </w:rPr>
        <w:t>third</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 xml:space="preserve"> remain adaptable to different investment</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 xml:space="preserve"> and </w:t>
      </w:r>
      <w:r w:rsidR="00AE4144" w:rsidRPr="0010430C">
        <w:rPr>
          <w:rFonts w:ascii="Times New Roman" w:eastAsia="Times New Roman" w:hAnsi="Times New Roman" w:cs="Times New Roman"/>
          <w:i/>
          <w:iCs/>
          <w:color w:val="000000"/>
          <w:kern w:val="0"/>
          <w:sz w:val="22"/>
          <w:szCs w:val="22"/>
          <w:lang w:eastAsia="en-GB"/>
          <w14:ligatures w14:val="none"/>
        </w:rPr>
        <w:t>fourth and last,</w:t>
      </w:r>
      <w:r w:rsidR="00AE4144" w:rsidRPr="0010430C">
        <w:rPr>
          <w:rFonts w:ascii="Times New Roman" w:eastAsia="Times New Roman" w:hAnsi="Times New Roman" w:cs="Times New Roman"/>
          <w:color w:val="000000"/>
          <w:kern w:val="0"/>
          <w:sz w:val="22"/>
          <w:szCs w:val="22"/>
          <w:lang w:eastAsia="en-GB"/>
          <w14:ligatures w14:val="none"/>
        </w:rPr>
        <w:t xml:space="preserve"> </w:t>
      </w:r>
      <w:r w:rsidRPr="0010430C">
        <w:rPr>
          <w:rFonts w:ascii="Times New Roman" w:eastAsia="Times New Roman" w:hAnsi="Times New Roman" w:cs="Times New Roman"/>
          <w:color w:val="000000"/>
          <w:kern w:val="0"/>
          <w:sz w:val="22"/>
          <w:szCs w:val="22"/>
          <w:lang w:eastAsia="en-GB"/>
          <w14:ligatures w14:val="none"/>
        </w:rPr>
        <w:t xml:space="preserve">make the reasoning behind an investment decision transparent. </w:t>
      </w:r>
      <w:r w:rsidR="00AE4144" w:rsidRPr="0010430C">
        <w:rPr>
          <w:rFonts w:ascii="Times New Roman" w:eastAsia="Times New Roman" w:hAnsi="Times New Roman" w:cs="Times New Roman"/>
          <w:color w:val="000000"/>
          <w:kern w:val="0"/>
          <w:sz w:val="22"/>
          <w:szCs w:val="22"/>
          <w:lang w:eastAsia="en-GB"/>
          <w14:ligatures w14:val="none"/>
        </w:rPr>
        <w:t xml:space="preserve">The framework </w:t>
      </w:r>
      <w:r w:rsidRPr="0010430C">
        <w:rPr>
          <w:rFonts w:ascii="Times New Roman" w:eastAsia="Times New Roman" w:hAnsi="Times New Roman" w:cs="Times New Roman"/>
          <w:color w:val="000000"/>
          <w:kern w:val="0"/>
          <w:sz w:val="22"/>
          <w:szCs w:val="22"/>
          <w:lang w:eastAsia="en-GB"/>
          <w14:ligatures w14:val="none"/>
        </w:rPr>
        <w:t>should not prescribe the decision. Different investors may use the same evidence and reach different conclusions because their objectives, time horizons, mandates and risk appetites differ. The objective is not uniformity. It is discipline.</w:t>
      </w:r>
    </w:p>
    <w:p w14:paraId="39D209FD"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3.2 The Architecture of the Investor's Rutter</w:t>
      </w:r>
    </w:p>
    <w:p w14:paraId="49D5F7BD" w14:textId="1D100FBF"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Investor's Rutter organises country analysis around four complementary dimensions: Endowments, Enablers, Context and Outcomes. Endowments are the relatively enduring characteristics of a country. Geography, natural resources, demography, human capital and location shape opportunities and constraints. Enablers are the institutions, policies and governance arrangements that determine how effectively a country converts its potential into performance. Context is the economic, financial, political, technological and geopolitical environment within which the country operates. Outcomes are the results produced by the interaction of these forces and provide evidence about performance, resilience and trajectory.</w:t>
      </w:r>
    </w:p>
    <w:p w14:paraId="308DFCC8"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These dimensions are interconnected. Endowments influence institutional choices. Institutions shape outcomes. Context alters the value of endowments and tests institutional resilience. Outcomes affect future policy choices and investor expectations. The framework is therefore not a linear sequence but an integrated system.</w:t>
      </w:r>
    </w:p>
    <w:p w14:paraId="7678370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hAnsi="Times New Roman" w:cs="Times New Roman"/>
          <w:sz w:val="22"/>
          <w:szCs w:val="22"/>
        </w:rPr>
        <w:t>The interactions are often more important than any dimension viewed alone. A favourable endowment can become valuable only when institutions and policy allow it to be developed; an external shock can expose weaknesses in state capacity that were less visible during benign conditions; strong outcomes can in turn create fiscal space and political support for further institutional reform. The reverse is equally possible. Resource wealth can weaken incentives for reform, poor outcomes can erode political legitimacy, and adverse context can amplify weaknesses that previously appeared manageable. The Rutter therefore asks investors to examine causal relationships and feedback loops, not simply to place observations into four separate boxes.</w:t>
      </w:r>
    </w:p>
    <w:p w14:paraId="52274671"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3.3 Applying the Rutter</w:t>
      </w:r>
    </w:p>
    <w:p w14:paraId="47C64952"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architecture remains constant, but its application changes with the investment. A sovereign investor may focus heavily on fiscal resilience, external financing and institutional credibility. An infrastructure investor may attach more weight to regulation, government implementation capacity and political continuity. A private-equity investor may focus on labour skills, market development, competition and the enforceability of commercial rights.</w:t>
      </w:r>
    </w:p>
    <w:p w14:paraId="1CF7BAB0"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The same principle applies to forecasting. The Rutter does not produce a single forecast. It helps investors identify the forecasts, trends and assumptions that matter most. Investors should ask what is relatively stable, what is changing, what developments can reasonably be anticipated, where uncertainty </w:t>
      </w:r>
      <w:r w:rsidRPr="0010430C">
        <w:rPr>
          <w:rFonts w:ascii="Times New Roman" w:eastAsia="Times New Roman" w:hAnsi="Times New Roman" w:cs="Times New Roman"/>
          <w:color w:val="000000"/>
          <w:kern w:val="0"/>
          <w:sz w:val="22"/>
          <w:szCs w:val="22"/>
          <w:lang w:eastAsia="en-GB"/>
          <w14:ligatures w14:val="none"/>
        </w:rPr>
        <w:lastRenderedPageBreak/>
        <w:t>is greatest, which assumptions are critical to the investment, and how resilient the investment will be if those assumptions prove wrong. This makes the Rutter a process of enquiry rather than scoring. Its purpose is not to make uncertainty disappear, but to make forward-looking investment judgement more disciplined.</w:t>
      </w:r>
    </w:p>
    <w:p w14:paraId="312F7FEF" w14:textId="5E02C19D"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4 - </w:t>
      </w:r>
      <w:r w:rsidRPr="0010430C">
        <w:rPr>
          <w:rFonts w:ascii="Times New Roman" w:eastAsia="Times New Roman" w:hAnsi="Times New Roman" w:cs="Times New Roman"/>
          <w:b/>
          <w:bCs/>
          <w:color w:val="000000"/>
          <w:kern w:val="0"/>
          <w:sz w:val="22"/>
          <w:szCs w:val="22"/>
          <w:lang w:eastAsia="en-GB"/>
          <w14:ligatures w14:val="none"/>
        </w:rPr>
        <w:t>Endowments: Understanding Structural Potential</w:t>
      </w:r>
    </w:p>
    <w:p w14:paraId="064BCF9D" w14:textId="35A2082B"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Endowments shape opportunity. They do not determine performance.</w:t>
      </w:r>
    </w:p>
    <w:p w14:paraId="25688112"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4.1 What a Country Has</w:t>
      </w:r>
    </w:p>
    <w:p w14:paraId="352C4A82"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Every country begins with a different set of opportunities and constraints. Geography, natural resources, demography, human capital and location influence the development paths available to it. Many of these characteristics change only slowly, so they provide a useful starting point for long-term analysis. A country with abundant mineral resources faces opportunities unavailable to a resource-poor economy. A young and expanding labour force creates different possibilities from an ageing population. Access to coastlines or large nearby markets may confer lasting advantages.</w:t>
      </w:r>
    </w:p>
    <w:p w14:paraId="7F333530"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Yet endowments do not determine outcomes. Resource-rich countries have experienced both prosperity and stagnation. Countries with few natural advantages have become highly competitive economies. For investors, endowments therefore describe possibility. They do not provide a forecast by themselves.</w:t>
      </w:r>
    </w:p>
    <w:p w14:paraId="7CE36A64"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hAnsi="Times New Roman" w:cs="Times New Roman"/>
          <w:sz w:val="22"/>
          <w:szCs w:val="22"/>
        </w:rPr>
        <w:t>Economic history provides repeated evidence of this distinction. Natural resources can support development, but they can also encourage concentration, rent-seeking and dependence on volatile export revenues. Geography can facilitate trade, yet policy and infrastructure determine whether that advantage is realised. Demography may expand the labour force, but its economic value depends on education, employment creation and the capacity of firms to absorb workers productively. The analytical mistake is therefore to treat an endowment as an outcome. For the investor, its importance lies in the opportunities and constraints it creates and in the mechanisms through which those characteristics may affect the asset.</w:t>
      </w:r>
    </w:p>
    <w:p w14:paraId="6A8C7C14"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4.2 Assessing Endowments</w:t>
      </w:r>
    </w:p>
    <w:p w14:paraId="2A80FF08"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Several categories deserve particular attention. Geography influences transport costs, market access, climate exposure and regional integration. Natural resources can generate exports, fiscal revenue and investment opportunities, but can also increase concentration, governance risks and exposure to commodity cycles. Demography influences labour supply, domestic demand and fiscal pressures. A young population can become a demographic dividend if employment, education and investment keep pace; without them, it can become a source of pressure. Human capital influences productivity, innovation and adaptability. Global connectivity determines how effectively a country participates in trade, capital markets and international value chains.</w:t>
      </w:r>
    </w:p>
    <w:p w14:paraId="31C4A1BC"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relevance of each endowment depends upon the investment. Agriculture will attach particular weight to climate, water and soil. Mining will focus on geology, infrastructure and access. Financial institutions may care more about urbanisation, income growth and human capital. The useful question is therefore not simply, What endowments does the country possess? It is, Which endowments matter to this investment, and how is their value likely to change?</w:t>
      </w:r>
    </w:p>
    <w:p w14:paraId="5F7D7C3E"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4.3 Endowments Are Stable. Their Value Is Not.</w:t>
      </w:r>
    </w:p>
    <w:p w14:paraId="6C143348"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Structural characteristics often evolve slowly, but their investment implications can change quickly. Technological change can reduce the value of one resource and increase another. Climate change can alter agricultural productivity and infrastructure risk. Demographic trends that once supported growth </w:t>
      </w:r>
      <w:r w:rsidRPr="0010430C">
        <w:rPr>
          <w:rFonts w:ascii="Times New Roman" w:eastAsia="Times New Roman" w:hAnsi="Times New Roman" w:cs="Times New Roman"/>
          <w:color w:val="000000"/>
          <w:kern w:val="0"/>
          <w:sz w:val="22"/>
          <w:szCs w:val="22"/>
          <w:lang w:eastAsia="en-GB"/>
          <w14:ligatures w14:val="none"/>
        </w:rPr>
        <w:lastRenderedPageBreak/>
        <w:t>can later create fiscal pressure. Geography may remain fixed while geopolitical developments transform its strategic importance.</w:t>
      </w:r>
    </w:p>
    <w:p w14:paraId="5E004C69"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Endowments should therefore be interpreted rather than simply recorded. They define part of the opportunity set. The next question is how effectively the country can use what it has.</w:t>
      </w:r>
    </w:p>
    <w:p w14:paraId="71A4ED31" w14:textId="4B075FEC"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5 - </w:t>
      </w:r>
      <w:r w:rsidRPr="0010430C">
        <w:rPr>
          <w:rFonts w:ascii="Times New Roman" w:eastAsia="Times New Roman" w:hAnsi="Times New Roman" w:cs="Times New Roman"/>
          <w:b/>
          <w:bCs/>
          <w:color w:val="000000"/>
          <w:kern w:val="0"/>
          <w:sz w:val="22"/>
          <w:szCs w:val="22"/>
          <w:lang w:eastAsia="en-GB"/>
          <w14:ligatures w14:val="none"/>
        </w:rPr>
        <w:t>Enablers: Converting Potential into Performance</w:t>
      </w:r>
    </w:p>
    <w:p w14:paraId="5F2C6EE7" w14:textId="36614AF5"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Potential creates opportunity. Institutions shape what becomes of it.</w:t>
      </w:r>
    </w:p>
    <w:p w14:paraId="46A788BB"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5.1 Why Enablers Matter</w:t>
      </w:r>
    </w:p>
    <w:p w14:paraId="24354E98"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Countries with similar endowments frequently follow very different paths. The difference often lies in their institutions, policies and capabilities. We call these </w:t>
      </w:r>
      <w:r w:rsidRPr="0010430C">
        <w:rPr>
          <w:rFonts w:ascii="Times New Roman" w:eastAsia="Times New Roman" w:hAnsi="Times New Roman" w:cs="Times New Roman"/>
          <w:b/>
          <w:bCs/>
          <w:color w:val="000000"/>
          <w:kern w:val="0"/>
          <w:sz w:val="22"/>
          <w:szCs w:val="22"/>
          <w:lang w:eastAsia="en-GB"/>
          <w14:ligatures w14:val="none"/>
        </w:rPr>
        <w:t>Enablers</w:t>
      </w:r>
      <w:r w:rsidRPr="0010430C">
        <w:rPr>
          <w:rFonts w:ascii="Times New Roman" w:eastAsia="Times New Roman" w:hAnsi="Times New Roman" w:cs="Times New Roman"/>
          <w:color w:val="000000"/>
          <w:kern w:val="0"/>
          <w:sz w:val="22"/>
          <w:szCs w:val="22"/>
          <w:lang w:eastAsia="en-GB"/>
          <w14:ligatures w14:val="none"/>
        </w:rPr>
        <w:t>. They influence whether governments can formulate credible policy, whether public institutions can implement it, whether markets function predictably and whether investors can commit capital with confidence. Endowments describe what a country has. Enablers help explain what it is likely to do with it.</w:t>
      </w:r>
    </w:p>
    <w:p w14:paraId="3B758BB8"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hAnsi="Times New Roman" w:cs="Times New Roman"/>
          <w:sz w:val="22"/>
          <w:szCs w:val="22"/>
        </w:rPr>
        <w:t>This is one of the most persistent findings in the study of long-run development. Geography and resources matter, but differences in state capability, institutional credibility and the incentives facing political and economic actors help explain why apparently similar starting points can produce very different results. Singapore and Sri Lanka, or Botswana and Zambia, are useful precisely because the contrast cannot be explained by initial endowments alone. For investors, the implication is practical rather than academic: the value of an opportunity depends not only on what a country possesses, but on whether its institutions can mobilise, protect and adapt that opportunity over time.</w:t>
      </w:r>
    </w:p>
    <w:p w14:paraId="2C14DCD6"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5.2 What Investors Should Examine</w:t>
      </w:r>
    </w:p>
    <w:p w14:paraId="3768B96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Institutional analysis becomes more useful when organised around practical questions. State capability asks whether government can implement the policies it announces. Policy credibility asks whether investors can reasonably expect a broadly consistent framework. Rule of law concerns whether contracts and property rights can be enforced fairly and predictably. Regulatory quality asks whether taxation, licensing, tariffs and concessions are governed by stable processes. Institutional resilience concerns whether institutions can continue to function through political change and economic stress. Adaptability asks whether institutions can adjust to changing economic, technological and political circumstances without destroying confidence.</w:t>
      </w:r>
    </w:p>
    <w:p w14:paraId="479CD4EB"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Formal institutions matter, but how they function matters more. Two countries may have similar constitutions, regulatory agencies or legal codes and nevertheless provide very different investment environments. Investors therefore need to examine practice as well as form.</w:t>
      </w:r>
    </w:p>
    <w:p w14:paraId="66A11FEC"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5.3 Institutions Have a Trajectory</w:t>
      </w:r>
    </w:p>
    <w:p w14:paraId="4E5297CB"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Institutional quality is not static. Institutions strengthen and weaken. Administrative capacity improves or deteriorates. Political incentives change. Reforms gain momentum or stall. For long-term investors, direction may therefore be as important as level. A country with moderate institutional quality may become increasingly attractive if capability and credibility are improving. A country with historically strong institutions may become less attractive if regulatory independence weakens, fiscal discipline erodes or government becomes less predictable.</w:t>
      </w:r>
    </w:p>
    <w:p w14:paraId="519638A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This is inherently forward-looking. Investors must form a judgement about where institutions are likely to be tomorrow. That judgement will not always be correct, but avoiding it is not an option for an investor committing long-term capital. Indeed, some of the most attractive opportunities may arise </w:t>
      </w:r>
      <w:r w:rsidRPr="0010430C">
        <w:rPr>
          <w:rFonts w:ascii="Times New Roman" w:eastAsia="Times New Roman" w:hAnsi="Times New Roman" w:cs="Times New Roman"/>
          <w:color w:val="000000"/>
          <w:kern w:val="0"/>
          <w:sz w:val="22"/>
          <w:szCs w:val="22"/>
          <w:lang w:eastAsia="en-GB"/>
          <w14:ligatures w14:val="none"/>
        </w:rPr>
        <w:lastRenderedPageBreak/>
        <w:t>where positive institutional trajectory is visible before it has been fully reflected in asset prices. The relevant questions are whether government can implement what it announces, whether institutions are strengthening or weakening, which changes appear structural, how durable policy credibility is, how predictable regulation will be and which institutional characteristics matter most for the investment. The objective is not to attach a single institutional score, but to understand institutional direction and its investment significance.</w:t>
      </w:r>
    </w:p>
    <w:p w14:paraId="3EF7A78D" w14:textId="26A81241"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6 - </w:t>
      </w:r>
      <w:r w:rsidRPr="0010430C">
        <w:rPr>
          <w:rFonts w:ascii="Times New Roman" w:eastAsia="Times New Roman" w:hAnsi="Times New Roman" w:cs="Times New Roman"/>
          <w:b/>
          <w:bCs/>
          <w:color w:val="000000"/>
          <w:kern w:val="0"/>
          <w:sz w:val="22"/>
          <w:szCs w:val="22"/>
          <w:lang w:eastAsia="en-GB"/>
          <w14:ligatures w14:val="none"/>
        </w:rPr>
        <w:t>Context: The Changing Environment</w:t>
      </w:r>
    </w:p>
    <w:p w14:paraId="3DE39F9E" w14:textId="298D15DC"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Countries do not compete in isolation. They compete within a changing world.</w:t>
      </w:r>
    </w:p>
    <w:p w14:paraId="606F509B"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6.1 Why Context Matters</w:t>
      </w:r>
    </w:p>
    <w:p w14:paraId="29742CD7"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Every investment is made at a particular moment in history. Interest rates rise and fall. Technologies transform industries. Trading relationships change. Geopolitical alliances shift. Commodity prices fluctuate. Climate change alters risks and opportunities. These forces may originate outside the country, but they can nevertheless transform its investment prospects. The same country may represent an attractive investment in one external environment and a much weaker proposition in another. Context is therefore the dynamic dimension of the Rutter.</w:t>
      </w:r>
    </w:p>
    <w:p w14:paraId="68E90879"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6.2 What Investors Should Examine</w:t>
      </w:r>
    </w:p>
    <w:p w14:paraId="4EF6F807"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external environment is almost limitless, and the investor should resist analysing everything. The objective is to identify the developments most likely to matter. These commonly include the global economic environment, such as growth, inflation, interest rates, currencies and liquidity; the financial environment, including capital-market access, borrowing conditions, banking resilience and global risk appetite; the political and geopolitical environment, including elections, conflict, sanctions, strategic competition and changing trade relationships; technology, including digitalisation, artificial intelligence, automation and the energy transition; and environmental and demographic forces, such as climate change, water availability, migration and ageing.</w:t>
      </w:r>
    </w:p>
    <w:p w14:paraId="7395F7DC"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Their importance depends upon the investment. Renewable energy may be highly sensitive to climate policy and carbon pricing. Export manufacturing may depend heavily upon trade relationships. Banks may be especially exposed to global liquidity and capital flows. Context should therefore always be analysed through the lens of the proposed investment.</w:t>
      </w:r>
    </w:p>
    <w:p w14:paraId="5B52B286"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6.3 Forecasting Context</w:t>
      </w:r>
    </w:p>
    <w:p w14:paraId="0E97A569"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Some contextual developments can be anticipated with reasonable confidence. Others cannot. Investors can build scenarios around global interest rates, technology adoption, demographic change or the energy transition. They can use market-implied expectations and economic forecasts, and they can identify geopolitical tensions that have a reasonable probability of intensifying. These exercises are useful.</w:t>
      </w:r>
    </w:p>
    <w:p w14:paraId="6AB161BE"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Their weakness arises when an investment depends too heavily upon one particular future. The Rutter therefore encourages investors to compare forecasts and scenarios rather than search for a single definitive prediction. Which future developments are most probable? Which are most consequential? Which assumptions are embedded in the investment case? How sensitive is the investment to those assumptions? Forecasting becomes especially valuable when combined with resilience analysis.</w:t>
      </w:r>
    </w:p>
    <w:p w14:paraId="31FFA37F"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6.4 Adaptation Matters</w:t>
      </w:r>
    </w:p>
    <w:p w14:paraId="3730011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Exposure to external shocks does not necessarily make a country unattractive. Many successful economies are highly exposed to international trade, capital markets and technological change. Their </w:t>
      </w:r>
      <w:r w:rsidRPr="0010430C">
        <w:rPr>
          <w:rFonts w:ascii="Times New Roman" w:eastAsia="Times New Roman" w:hAnsi="Times New Roman" w:cs="Times New Roman"/>
          <w:color w:val="000000"/>
          <w:kern w:val="0"/>
          <w:sz w:val="22"/>
          <w:szCs w:val="22"/>
          <w:lang w:eastAsia="en-GB"/>
          <w14:ligatures w14:val="none"/>
        </w:rPr>
        <w:lastRenderedPageBreak/>
        <w:t>strength lies in their ability to adapt. Conversely, a country with limited external exposure may perform poorly if government responds slowly, institutions lack flexibility or policy becomes increasingly inward-looking.</w:t>
      </w:r>
    </w:p>
    <w:p w14:paraId="47A609BF"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relevant question is therefore not simply, What shocks might occur? It is also, How is the country likely to respond if they do? This distinction reduces the need to predict every event correctly. An investor who understands the adaptability of the country and resilience of the investment may be able to proceed despite substantial uncertainty about the precise path of future events.</w:t>
      </w:r>
    </w:p>
    <w:p w14:paraId="2F9717CD" w14:textId="6C04676B"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7 - </w:t>
      </w:r>
      <w:r w:rsidRPr="0010430C">
        <w:rPr>
          <w:rFonts w:ascii="Times New Roman" w:eastAsia="Times New Roman" w:hAnsi="Times New Roman" w:cs="Times New Roman"/>
          <w:b/>
          <w:bCs/>
          <w:color w:val="000000"/>
          <w:kern w:val="0"/>
          <w:sz w:val="22"/>
          <w:szCs w:val="22"/>
          <w:lang w:eastAsia="en-GB"/>
          <w14:ligatures w14:val="none"/>
        </w:rPr>
        <w:t>Outcomes: Judging Performance</w:t>
      </w:r>
    </w:p>
    <w:p w14:paraId="5278EA17" w14:textId="2AB72291"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Outcomes tell us where a country has been. Trends help us judge where it may be going.</w:t>
      </w:r>
    </w:p>
    <w:p w14:paraId="03B94D4D"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7.1 Why Outcomes Matter</w:t>
      </w:r>
    </w:p>
    <w:p w14:paraId="76D7276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Endowments describe structural opportunity. Enablers show how effectively that opportunity can be converted into performance. Context identifies the wider environment. Outcomes show what these forces are producing. Economic growth is an obvious measure, but it is insufficient. Rapid growth can reflect improving productivity and competitiveness, but it can also result from a temporary commodity boom, cheap external financing or unsustainable fiscal expansion. Weak growth may indicate stagnation, but it may also conceal reforms whose benefits have not yet appeared in headline numbers.</w:t>
      </w:r>
    </w:p>
    <w:p w14:paraId="370EE572"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Investors therefore need a broader set of outcomes: productivity, macroeconomic stability, fiscal credibility, competitiveness, investment, financial resilience and labour-market performance. The objective is not to accumulate indicators but to understand the story they tell collectively.</w:t>
      </w:r>
    </w:p>
    <w:p w14:paraId="51851038"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7.2 Trends Matter More Than Snapshots</w:t>
      </w:r>
    </w:p>
    <w:p w14:paraId="78CC0AF5"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Investment decisions are forward-looking, and current outcomes matter partly because of what they may imply about future outcomes. A country growing rapidly today may nevertheless be weakening if institutions are deteriorating or fiscal imbalances are building. A country with modest current growth may be becoming more attractive if reform is strengthening institutions and improving competitiveness.</w:t>
      </w:r>
    </w:p>
    <w:p w14:paraId="46CD584F"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investor should therefore look for trajectory. Is performance improving consistently? Is deterioration broadening? Are changes cyclical or structural? Do outcomes confirm the institutional story or contradict it? Where might the country be heading if current trends persist? Outcomes are therefore both backward- and forward-looking. They describe what has happened, but they also provide evidence from which predictions can be formed.</w:t>
      </w:r>
    </w:p>
    <w:p w14:paraId="277DE265"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hAnsi="Times New Roman" w:cs="Times New Roman"/>
          <w:sz w:val="22"/>
          <w:szCs w:val="22"/>
        </w:rPr>
        <w:t>This also provides a check on the rest of the framework. If institutional assessments are improving but productivity, investment and fiscal performance continue to deteriorate, the investor should ask whether reform is too recent to have had an effect, whether the original institutional judgement was too optimistic, or whether adverse Context is overwhelming domestic improvement. The four dimensions should ultimately tell a reasonably coherent story. Where they do not, the inconsistency is itself information and a reason to investigate further.</w:t>
      </w:r>
    </w:p>
    <w:p w14:paraId="4EC1998D"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7.3 Outcomes Create Feedback</w:t>
      </w:r>
    </w:p>
    <w:p w14:paraId="742CA1AB"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Rutter does not end when an investment is approved. Outcomes provide evidence against which earlier assumptions can be tested. Did institutions behave as expected? Was the economic forecast too optimistic? Did regulatory risk materialise? Did the country adapt as anticipated? Were the assumptions behind the investment case correct?</w:t>
      </w:r>
    </w:p>
    <w:p w14:paraId="6F430917"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lastRenderedPageBreak/>
        <w:t>This feedback matters because judgement should evolve with evidence. Forecasts should be updated. Confidence should rise or fall. An investment thesis should be revised when facts change. The Rutter is therefore a continuous process rather than a one-off country assessment. Once capital has been committed, the work has only begun.</w:t>
      </w:r>
    </w:p>
    <w:p w14:paraId="748E527E" w14:textId="77777777" w:rsidR="008359E9" w:rsidRPr="0010430C" w:rsidRDefault="008359E9"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p>
    <w:p w14:paraId="6FD90B81" w14:textId="57D20D7C" w:rsidR="006D1400" w:rsidRPr="0010430C" w:rsidRDefault="006D1400" w:rsidP="008359E9">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8 - </w:t>
      </w:r>
      <w:r w:rsidRPr="0010430C">
        <w:rPr>
          <w:rFonts w:ascii="Times New Roman" w:eastAsia="Times New Roman" w:hAnsi="Times New Roman" w:cs="Times New Roman"/>
          <w:b/>
          <w:bCs/>
          <w:color w:val="000000"/>
          <w:kern w:val="0"/>
          <w:sz w:val="22"/>
          <w:szCs w:val="22"/>
          <w:lang w:eastAsia="en-GB"/>
          <w14:ligatures w14:val="none"/>
        </w:rPr>
        <w:t>Applying the Investor's Rutter: An Electric Vehicle Investment</w:t>
      </w:r>
    </w:p>
    <w:p w14:paraId="749B594F" w14:textId="5B41F7D3" w:rsidR="006D1400" w:rsidRPr="0010430C" w:rsidRDefault="006D1400" w:rsidP="008359E9">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A framework is judged by the decisions it helps investors make.</w:t>
      </w:r>
    </w:p>
    <w:p w14:paraId="06BE18E0"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8.1 The Investment Decision</w:t>
      </w:r>
    </w:p>
    <w:p w14:paraId="45CCEF8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Tomorrow's Energy (TE) is a successful battery manufacturer headquartered in the emerging-market economy of </w:t>
      </w:r>
      <w:proofErr w:type="spellStart"/>
      <w:r w:rsidRPr="0010430C">
        <w:rPr>
          <w:rFonts w:ascii="Times New Roman" w:eastAsia="Times New Roman" w:hAnsi="Times New Roman" w:cs="Times New Roman"/>
          <w:color w:val="000000"/>
          <w:kern w:val="0"/>
          <w:sz w:val="22"/>
          <w:szCs w:val="22"/>
          <w:lang w:eastAsia="en-GB"/>
          <w14:ligatures w14:val="none"/>
        </w:rPr>
        <w:t>Marcadia</w:t>
      </w:r>
      <w:proofErr w:type="spellEnd"/>
      <w:r w:rsidRPr="0010430C">
        <w:rPr>
          <w:rFonts w:ascii="Times New Roman" w:eastAsia="Times New Roman" w:hAnsi="Times New Roman" w:cs="Times New Roman"/>
          <w:color w:val="000000"/>
          <w:kern w:val="0"/>
          <w:sz w:val="22"/>
          <w:szCs w:val="22"/>
          <w:lang w:eastAsia="en-GB"/>
          <w14:ligatures w14:val="none"/>
        </w:rPr>
        <w:t>. Management is considering two transformational investments. The first is a joint venture with the country's leading vehicle manufacturer to produce electric passenger cars and commercial vehicles. The second is an expansion into solar energy, combining battery storage with renewable power generation and distribution. Both are commercially attractive, but only one can be pursued.</w:t>
      </w:r>
    </w:p>
    <w:p w14:paraId="620D5FE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decision extends beyond financial projections. It requires judgements about government policy, institutional capability, technological change, geopolitics, supply chains and Marcadia's long-term investment environment. Financial modelling can calculate returns under different assumptions. The more difficult question is which assumptions deserve confidence.</w:t>
      </w:r>
    </w:p>
    <w:p w14:paraId="36246580"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8.2 Applying the Rutter</w:t>
      </w:r>
    </w:p>
    <w:p w14:paraId="2D56B7C4"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Marcadia's Endowments are favourable in several respects. It possesses a well-educated engineering workforce, an expanding manufacturing base and growing domestic demand for low-carbon technologies. These are significant advantages, although the country remains dependent on imported energy and critical battery components. Its Enablers are more mixed. Policy strongly supports cleaner energy, but implementation, regulatory consistency and protection of intellectual property remain concerns. The electric-vehicle joint venture would require considerable confidence that contracts, approvals and commercial rights remain secure over many years, while solar is less dependent upon discretionary government intervention.</w:t>
      </w:r>
    </w:p>
    <w:p w14:paraId="72D4B2FE" w14:textId="5ACC47BA"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context also differs between the two strategies. International competition in electric vehicles is intensifying, while supply chains are increasingly influenced by strategic competition, industrial policy and critical-mineral security. These developments create uncertainty about market access, technology and component availability. Distributed renewable energy and battery storage appear more resilient across a wider range of scenarios. The likely outcomes therefore differ. Both projects offer attractive returns under favourable assumptions. The electric-vehicle investment offers greater upside, but the solar investment appears more robust across different economic, political and geopolitical outcomes.</w:t>
      </w:r>
    </w:p>
    <w:p w14:paraId="64E39D7A"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question is not which sector will "win." It is which investment offers the better combination of return, resilience and dependence upon uncertain assumptions.</w:t>
      </w:r>
    </w:p>
    <w:p w14:paraId="0B1D3E0B"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8.3 Investment Judgement</w:t>
      </w:r>
    </w:p>
    <w:p w14:paraId="7BE1F4F9"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 xml:space="preserve">The committee recommends prioritising solar and postponing the electric-vehicle joint venture. That conclusion contains predictions. The committee expects demand for distributed energy and storage to remain comparatively resilient. It believes geopolitical and industrial-policy risks around electric </w:t>
      </w:r>
      <w:r w:rsidRPr="0010430C">
        <w:rPr>
          <w:rFonts w:ascii="Times New Roman" w:eastAsia="Times New Roman" w:hAnsi="Times New Roman" w:cs="Times New Roman"/>
          <w:color w:val="000000"/>
          <w:kern w:val="0"/>
          <w:sz w:val="22"/>
          <w:szCs w:val="22"/>
          <w:lang w:eastAsia="en-GB"/>
          <w14:ligatures w14:val="none"/>
        </w:rPr>
        <w:lastRenderedPageBreak/>
        <w:t>vehicles are likely to remain material. It judges Marcadia's institutional framework adequate for solar but less reassuring for the more complicated joint venture.</w:t>
      </w:r>
    </w:p>
    <w:p w14:paraId="267FF184"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These expectations could prove wrong. The recommendation nevertheless remains rational because it is based upon the relative confidence attached to competing assumptions and the consequences if those assumptions fail. The electric-vehicle project may ultimately earn more. That does not make it the better investment decision today. The Rutter has not removed uncertainty; it has made explicit where that uncertainty lies.</w:t>
      </w:r>
    </w:p>
    <w:p w14:paraId="2CDC5A58" w14:textId="77777777" w:rsidR="00A21DC0" w:rsidRPr="0010430C" w:rsidRDefault="00A21DC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p>
    <w:p w14:paraId="4778EB07" w14:textId="0AFB17B7" w:rsidR="006D1400" w:rsidRPr="0010430C" w:rsidRDefault="006D1400" w:rsidP="00A21DC0">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9 - </w:t>
      </w:r>
      <w:r w:rsidRPr="0010430C">
        <w:rPr>
          <w:rFonts w:ascii="Times New Roman" w:eastAsia="Times New Roman" w:hAnsi="Times New Roman" w:cs="Times New Roman"/>
          <w:b/>
          <w:bCs/>
          <w:color w:val="000000"/>
          <w:kern w:val="0"/>
          <w:sz w:val="22"/>
          <w:szCs w:val="22"/>
          <w:lang w:eastAsia="en-GB"/>
          <w14:ligatures w14:val="none"/>
        </w:rPr>
        <w:t>Applying the Investor's Rutter: Investing in a Coffee and Tea Exporter</w:t>
      </w:r>
    </w:p>
    <w:p w14:paraId="04DD4C48" w14:textId="139630AA" w:rsidR="006D1400" w:rsidRPr="0010430C" w:rsidRDefault="006D1400" w:rsidP="00A21DC0">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t>Country risk does not affect every investment equally.</w:t>
      </w:r>
    </w:p>
    <w:p w14:paraId="38C40660"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9.1 The Investment Opportunity</w:t>
      </w:r>
    </w:p>
    <w:p w14:paraId="53356EC2"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Emporium Coffee and Tea (ECT) is a long-established agricultural producer, processor and exporter with deep commercial roots, experienced management, diversified foreign revenues and strong relationships with international customers. The investment is being considered during a period of severe political and financial instability. Capital is leaving the country, the exchange rate is weakening, confidence is deteriorating and investors are increasingly concerned about the sovereign outlook.</w:t>
      </w:r>
    </w:p>
    <w:p w14:paraId="43E6F92B" w14:textId="77777777" w:rsidR="006D1400" w:rsidRPr="0010430C" w:rsidRDefault="006D1400" w:rsidP="006D1400">
      <w:pPr>
        <w:spacing w:before="100" w:beforeAutospacing="1" w:after="100" w:afterAutospacing="1"/>
        <w:jc w:val="both"/>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immediate reaction may be to reject the proposal because country risk has increased. The Rutter suggests a more useful question: </w:t>
      </w:r>
      <w:r w:rsidRPr="0010430C">
        <w:rPr>
          <w:rFonts w:ascii="Times New Roman" w:eastAsia="Times New Roman" w:hAnsi="Times New Roman" w:cs="Times New Roman"/>
          <w:i/>
          <w:iCs/>
          <w:color w:val="000000"/>
          <w:kern w:val="0"/>
          <w:sz w:val="22"/>
          <w:szCs w:val="22"/>
          <w:lang w:eastAsia="en-GB"/>
          <w14:ligatures w14:val="none"/>
        </w:rPr>
        <w:t>How does the deteriorating country environment affect this particular investment?</w:t>
      </w:r>
    </w:p>
    <w:p w14:paraId="0EF1C7A8"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9.2 Applying the Rutter</w:t>
      </w:r>
    </w:p>
    <w:p w14:paraId="6C85341F"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country's underlying agricultural endowments have changed little. ECT's export potential and commercial position remain intact. The deterioration lies principally in Enablers and Context. Political instability, weaker confidence and financial pressure clearly increase risk, yet the transmission of these risks to ECT is not straightforward. Its export orientation provides foreign-currency revenue. Its foreign customers reduce dependence upon domestic demand. Its operating model has survived earlier periods of disruption. The proposed transaction structure provides additional protection.</w:t>
      </w:r>
    </w:p>
    <w:p w14:paraId="1C0E91B2" w14:textId="0B1EDE91"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committee therefore distinguishes between a deteriorating sovereign and the specific exposure of the investment. That distinction is decisive.</w:t>
      </w:r>
    </w:p>
    <w:p w14:paraId="65224172" w14:textId="77777777" w:rsidR="006D1400" w:rsidRPr="0010430C" w:rsidRDefault="006D1400" w:rsidP="006D1400">
      <w:pPr>
        <w:spacing w:before="100" w:beforeAutospacing="1" w:after="100" w:afterAutospacing="1"/>
        <w:jc w:val="both"/>
        <w:outlineLvl w:val="2"/>
        <w:rPr>
          <w:rFonts w:ascii="Times New Roman" w:eastAsia="Times New Roman" w:hAnsi="Times New Roman" w:cs="Times New Roman"/>
          <w:b/>
          <w:bCs/>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9.3 Investment Judgement</w:t>
      </w:r>
    </w:p>
    <w:p w14:paraId="6E358C53"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committee supports the investment. This decision also contains a forward-looking view. The committee does not need to predict rapid political stabilisation, nor does it assume that the sovereign environment will soon improve. Instead, it predicts that ECT should remain capable of servicing its obligations across a reasonably broad range of adverse country scenarios.</w:t>
      </w:r>
    </w:p>
    <w:p w14:paraId="17554B29"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That is a different forecast. The investment is supported not because country risk is unimportant, but because the company's characteristics and transaction structure limit its transmission to the investment. The case illustrates a broader principle. Sovereign risk and investment risk are closely related, but they are not identical. Country analysis identifies the environment. Investment judgement asks how that environment reaches the asset.</w:t>
      </w:r>
    </w:p>
    <w:p w14:paraId="7BADF0F1" w14:textId="056EC6AE" w:rsidR="006D1400" w:rsidRPr="0010430C" w:rsidRDefault="006D1400" w:rsidP="00A21DC0">
      <w:pPr>
        <w:spacing w:before="100" w:beforeAutospacing="1" w:after="100" w:afterAutospacing="1"/>
        <w:jc w:val="center"/>
        <w:outlineLvl w:val="0"/>
        <w:rPr>
          <w:rFonts w:ascii="Times New Roman" w:eastAsia="Times New Roman" w:hAnsi="Times New Roman" w:cs="Times New Roman"/>
          <w:b/>
          <w:bCs/>
          <w:color w:val="000000"/>
          <w:kern w:val="36"/>
          <w:sz w:val="22"/>
          <w:szCs w:val="22"/>
          <w:lang w:eastAsia="en-GB"/>
          <w14:ligatures w14:val="none"/>
        </w:rPr>
      </w:pPr>
      <w:r w:rsidRPr="0010430C">
        <w:rPr>
          <w:rFonts w:ascii="Times New Roman" w:eastAsia="Times New Roman" w:hAnsi="Times New Roman" w:cs="Times New Roman"/>
          <w:b/>
          <w:bCs/>
          <w:color w:val="000000"/>
          <w:kern w:val="36"/>
          <w:sz w:val="22"/>
          <w:szCs w:val="22"/>
          <w:lang w:eastAsia="en-GB"/>
          <w14:ligatures w14:val="none"/>
        </w:rPr>
        <w:t xml:space="preserve">Chapter 10 - </w:t>
      </w:r>
      <w:r w:rsidRPr="0010430C">
        <w:rPr>
          <w:rFonts w:ascii="Times New Roman" w:eastAsia="Times New Roman" w:hAnsi="Times New Roman" w:cs="Times New Roman"/>
          <w:b/>
          <w:bCs/>
          <w:color w:val="000000"/>
          <w:kern w:val="0"/>
          <w:sz w:val="22"/>
          <w:szCs w:val="22"/>
          <w:lang w:eastAsia="en-GB"/>
          <w14:ligatures w14:val="none"/>
        </w:rPr>
        <w:t>Better Investment Judgement in an Uncertain World</w:t>
      </w:r>
    </w:p>
    <w:p w14:paraId="5B013806" w14:textId="221C4C0E" w:rsidR="006D1400" w:rsidRPr="0010430C" w:rsidRDefault="006D1400" w:rsidP="00A21DC0">
      <w:pPr>
        <w:spacing w:before="100" w:beforeAutospacing="1" w:after="100" w:afterAutospacing="1"/>
        <w:jc w:val="center"/>
        <w:rPr>
          <w:rFonts w:ascii="Times New Roman" w:eastAsia="Times New Roman" w:hAnsi="Times New Roman" w:cs="Times New Roman"/>
          <w:i/>
          <w:iCs/>
          <w:color w:val="000000"/>
          <w:kern w:val="0"/>
          <w:sz w:val="22"/>
          <w:szCs w:val="22"/>
          <w:lang w:eastAsia="en-GB"/>
          <w14:ligatures w14:val="none"/>
        </w:rPr>
      </w:pPr>
      <w:r w:rsidRPr="0010430C">
        <w:rPr>
          <w:rFonts w:ascii="Times New Roman" w:eastAsia="Times New Roman" w:hAnsi="Times New Roman" w:cs="Times New Roman"/>
          <w:i/>
          <w:iCs/>
          <w:color w:val="000000"/>
          <w:kern w:val="0"/>
          <w:sz w:val="22"/>
          <w:szCs w:val="22"/>
          <w:lang w:eastAsia="en-GB"/>
          <w14:ligatures w14:val="none"/>
        </w:rPr>
        <w:lastRenderedPageBreak/>
        <w:t>The future can be anticipated imperfectly. The task is to know how much confidence</w:t>
      </w:r>
      <w:r w:rsidR="00A21DC0" w:rsidRPr="0010430C">
        <w:rPr>
          <w:rFonts w:ascii="Times New Roman" w:eastAsia="Times New Roman" w:hAnsi="Times New Roman" w:cs="Times New Roman"/>
          <w:i/>
          <w:iCs/>
          <w:color w:val="000000"/>
          <w:kern w:val="0"/>
          <w:sz w:val="22"/>
          <w:szCs w:val="22"/>
          <w:lang w:eastAsia="en-GB"/>
          <w14:ligatures w14:val="none"/>
        </w:rPr>
        <w:t xml:space="preserve">.                         </w:t>
      </w:r>
      <w:r w:rsidRPr="0010430C">
        <w:rPr>
          <w:rFonts w:ascii="Times New Roman" w:eastAsia="Times New Roman" w:hAnsi="Times New Roman" w:cs="Times New Roman"/>
          <w:i/>
          <w:iCs/>
          <w:color w:val="000000"/>
          <w:kern w:val="0"/>
          <w:sz w:val="22"/>
          <w:szCs w:val="22"/>
          <w:lang w:eastAsia="en-GB"/>
          <w14:ligatures w14:val="none"/>
        </w:rPr>
        <w:t xml:space="preserve"> to place in what we think we know.</w:t>
      </w:r>
    </w:p>
    <w:p w14:paraId="58CF1C5D"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Investing has always required views about the future, and that will not change. Better data, stronger models and more sophisticated analysis can improve those views. Forecasts matter. Trends matter. Scenarios matter. Some developments can be anticipated with considerable confidence, while others cannot. The error is therefore neither to predict nor to refuse to predict. It is to confuse a forecast with a fact.</w:t>
      </w:r>
    </w:p>
    <w:p w14:paraId="0906EE90" w14:textId="77777777" w:rsidR="00854C66" w:rsidRPr="0010430C" w:rsidRDefault="00854C66"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Investor's Rutter provides a structure for navigating that distinction. Endowments identify relatively enduring opportunities and constraints. Enablers show how effectively countries convert potential into performance and how that capacity is changing. Context identifies the forces reshaping national opportunities and risks. Outcomes show how these forces are being expressed in macroeconomic and financial performance and provide evidence from which expectations can be updated. Together, the four dimensions help investors distinguish condition from trajectory, signal from noise and plausible expectation from unsupported assumption—and ultimately assess how changes in the country environment may affect the performance of the investment itself.</w:t>
      </w:r>
    </w:p>
    <w:p w14:paraId="75D91775" w14:textId="5601402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Rutter is not a forecast, rating or mechanical model. It is an architecture for investment judgement. Its value lies partly in making forward-looking assumptions explicit. Which developments do we expect? How confident are we? What evidence supports that view? What would cause us to change it? What happens to the investment if we are wrong? These questions do not make the future certain. They make the investment decision more robust.</w:t>
      </w:r>
    </w:p>
    <w:p w14:paraId="2465C776"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The medieval navigator did not refuse to forecast the weather because forecasts might prove wrong. He used the best information available, understood the winds and currents, watched conditions as they changed and adjusted his course. The investor should do the same.</w:t>
      </w:r>
    </w:p>
    <w:p w14:paraId="6FA1B92E"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b/>
          <w:bCs/>
          <w:color w:val="000000"/>
          <w:kern w:val="0"/>
          <w:sz w:val="22"/>
          <w:szCs w:val="22"/>
          <w:lang w:eastAsia="en-GB"/>
          <w14:ligatures w14:val="none"/>
        </w:rPr>
        <w:t>Prediction informs judgement. Evidence disciplines it. Outcomes test it.</w:t>
      </w:r>
    </w:p>
    <w:p w14:paraId="2A4A0635" w14:textId="77777777" w:rsidR="006D1400" w:rsidRPr="0010430C" w:rsidRDefault="006D1400" w:rsidP="006D1400">
      <w:pPr>
        <w:spacing w:before="100" w:beforeAutospacing="1" w:after="100" w:afterAutospacing="1"/>
        <w:jc w:val="both"/>
        <w:rPr>
          <w:rFonts w:ascii="Times New Roman" w:eastAsia="Times New Roman" w:hAnsi="Times New Roman" w:cs="Times New Roman"/>
          <w:color w:val="000000"/>
          <w:kern w:val="0"/>
          <w:sz w:val="22"/>
          <w:szCs w:val="22"/>
          <w:lang w:eastAsia="en-GB"/>
          <w14:ligatures w14:val="none"/>
        </w:rPr>
      </w:pPr>
      <w:r w:rsidRPr="0010430C">
        <w:rPr>
          <w:rFonts w:ascii="Times New Roman" w:eastAsia="Times New Roman" w:hAnsi="Times New Roman" w:cs="Times New Roman"/>
          <w:color w:val="000000"/>
          <w:kern w:val="0"/>
          <w:sz w:val="22"/>
          <w:szCs w:val="22"/>
          <w:lang w:eastAsia="en-GB"/>
          <w14:ligatures w14:val="none"/>
        </w:rPr>
        <w:t>That is the purpose of the Investor's Rutter.</w:t>
      </w:r>
    </w:p>
    <w:p w14:paraId="4F31A66A" w14:textId="77777777" w:rsidR="006A4D42" w:rsidRPr="0010430C" w:rsidRDefault="006A4D42">
      <w:pPr>
        <w:rPr>
          <w:rFonts w:ascii="Times New Roman" w:hAnsi="Times New Roman" w:cs="Times New Roman"/>
          <w:sz w:val="22"/>
          <w:szCs w:val="22"/>
        </w:rPr>
      </w:pPr>
    </w:p>
    <w:sectPr w:rsidR="006A4D42" w:rsidRPr="0010430C">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43487A" w14:textId="77777777" w:rsidR="007371CD" w:rsidRDefault="007371CD" w:rsidP="00A21AFB">
      <w:r>
        <w:separator/>
      </w:r>
    </w:p>
  </w:endnote>
  <w:endnote w:type="continuationSeparator" w:id="0">
    <w:p w14:paraId="7C1B6294" w14:textId="77777777" w:rsidR="007371CD" w:rsidRDefault="007371CD" w:rsidP="00A21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84018782"/>
      <w:docPartObj>
        <w:docPartGallery w:val="Page Numbers (Bottom of Page)"/>
        <w:docPartUnique/>
      </w:docPartObj>
    </w:sdtPr>
    <w:sdtContent>
      <w:p w14:paraId="1600E84F" w14:textId="21D3D5E2" w:rsidR="00A21AFB" w:rsidRDefault="00A21AFB"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5BF4684" w14:textId="77777777" w:rsidR="00A21AFB" w:rsidRDefault="00A21AFB" w:rsidP="00A21A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6992817"/>
      <w:docPartObj>
        <w:docPartGallery w:val="Page Numbers (Bottom of Page)"/>
        <w:docPartUnique/>
      </w:docPartObj>
    </w:sdtPr>
    <w:sdtContent>
      <w:p w14:paraId="5F212395" w14:textId="69D7E501" w:rsidR="00A21AFB" w:rsidRDefault="00A21AFB" w:rsidP="003519B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noProof/>
          </w:rPr>
          <w:t>0</w:t>
        </w:r>
        <w:r>
          <w:rPr>
            <w:rStyle w:val="PageNumber"/>
          </w:rPr>
          <w:fldChar w:fldCharType="end"/>
        </w:r>
      </w:p>
    </w:sdtContent>
  </w:sdt>
  <w:p w14:paraId="4781F1AC" w14:textId="77777777" w:rsidR="00A21AFB" w:rsidRDefault="00A21AFB" w:rsidP="00A21A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CC2E37" w14:textId="77777777" w:rsidR="007371CD" w:rsidRDefault="007371CD" w:rsidP="00A21AFB">
      <w:r>
        <w:separator/>
      </w:r>
    </w:p>
  </w:footnote>
  <w:footnote w:type="continuationSeparator" w:id="0">
    <w:p w14:paraId="27C04570" w14:textId="77777777" w:rsidR="007371CD" w:rsidRDefault="007371CD" w:rsidP="00A21AF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00"/>
    <w:rsid w:val="0010430C"/>
    <w:rsid w:val="00166BF3"/>
    <w:rsid w:val="001A60EA"/>
    <w:rsid w:val="002B2F4E"/>
    <w:rsid w:val="003C5430"/>
    <w:rsid w:val="003E5FC8"/>
    <w:rsid w:val="00536A03"/>
    <w:rsid w:val="005A6D81"/>
    <w:rsid w:val="006A4D42"/>
    <w:rsid w:val="006D1400"/>
    <w:rsid w:val="006F2060"/>
    <w:rsid w:val="00713444"/>
    <w:rsid w:val="007371CD"/>
    <w:rsid w:val="008359E9"/>
    <w:rsid w:val="00854C66"/>
    <w:rsid w:val="008F05D9"/>
    <w:rsid w:val="009125B8"/>
    <w:rsid w:val="009424B3"/>
    <w:rsid w:val="00A21AFB"/>
    <w:rsid w:val="00A21DC0"/>
    <w:rsid w:val="00A528C6"/>
    <w:rsid w:val="00AE4144"/>
    <w:rsid w:val="00C8392D"/>
    <w:rsid w:val="00D005C6"/>
    <w:rsid w:val="00D27E04"/>
    <w:rsid w:val="00DA3AE2"/>
    <w:rsid w:val="00DD5F65"/>
    <w:rsid w:val="00EF7143"/>
    <w:rsid w:val="00FE320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7DD62"/>
  <w15:chartTrackingRefBased/>
  <w15:docId w15:val="{6FF293BA-4ADC-9143-A1AA-E1240B06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MY"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4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D14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D14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4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4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40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40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40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40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4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D14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D14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4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4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4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4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4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400"/>
    <w:rPr>
      <w:rFonts w:eastAsiaTheme="majorEastAsia" w:cstheme="majorBidi"/>
      <w:color w:val="272727" w:themeColor="text1" w:themeTint="D8"/>
    </w:rPr>
  </w:style>
  <w:style w:type="paragraph" w:styleId="Title">
    <w:name w:val="Title"/>
    <w:basedOn w:val="Normal"/>
    <w:next w:val="Normal"/>
    <w:link w:val="TitleChar"/>
    <w:uiPriority w:val="10"/>
    <w:qFormat/>
    <w:rsid w:val="006D140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4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40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4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40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1400"/>
    <w:rPr>
      <w:i/>
      <w:iCs/>
      <w:color w:val="404040" w:themeColor="text1" w:themeTint="BF"/>
    </w:rPr>
  </w:style>
  <w:style w:type="paragraph" w:styleId="ListParagraph">
    <w:name w:val="List Paragraph"/>
    <w:basedOn w:val="Normal"/>
    <w:uiPriority w:val="34"/>
    <w:qFormat/>
    <w:rsid w:val="006D1400"/>
    <w:pPr>
      <w:ind w:left="720"/>
      <w:contextualSpacing/>
    </w:pPr>
  </w:style>
  <w:style w:type="character" w:styleId="IntenseEmphasis">
    <w:name w:val="Intense Emphasis"/>
    <w:basedOn w:val="DefaultParagraphFont"/>
    <w:uiPriority w:val="21"/>
    <w:qFormat/>
    <w:rsid w:val="006D1400"/>
    <w:rPr>
      <w:i/>
      <w:iCs/>
      <w:color w:val="0F4761" w:themeColor="accent1" w:themeShade="BF"/>
    </w:rPr>
  </w:style>
  <w:style w:type="paragraph" w:styleId="IntenseQuote">
    <w:name w:val="Intense Quote"/>
    <w:basedOn w:val="Normal"/>
    <w:next w:val="Normal"/>
    <w:link w:val="IntenseQuoteChar"/>
    <w:uiPriority w:val="30"/>
    <w:qFormat/>
    <w:rsid w:val="006D14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400"/>
    <w:rPr>
      <w:i/>
      <w:iCs/>
      <w:color w:val="0F4761" w:themeColor="accent1" w:themeShade="BF"/>
    </w:rPr>
  </w:style>
  <w:style w:type="character" w:styleId="IntenseReference">
    <w:name w:val="Intense Reference"/>
    <w:basedOn w:val="DefaultParagraphFont"/>
    <w:uiPriority w:val="32"/>
    <w:qFormat/>
    <w:rsid w:val="006D1400"/>
    <w:rPr>
      <w:b/>
      <w:bCs/>
      <w:smallCaps/>
      <w:color w:val="0F4761" w:themeColor="accent1" w:themeShade="BF"/>
      <w:spacing w:val="5"/>
    </w:rPr>
  </w:style>
  <w:style w:type="paragraph" w:customStyle="1" w:styleId="isselectedend">
    <w:name w:val="isselectedend"/>
    <w:basedOn w:val="Normal"/>
    <w:rsid w:val="006D140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D1400"/>
    <w:rPr>
      <w:b/>
      <w:bCs/>
    </w:rPr>
  </w:style>
  <w:style w:type="character" w:customStyle="1" w:styleId="apple-converted-space">
    <w:name w:val="apple-converted-space"/>
    <w:basedOn w:val="DefaultParagraphFont"/>
    <w:rsid w:val="006D1400"/>
  </w:style>
  <w:style w:type="character" w:styleId="Emphasis">
    <w:name w:val="Emphasis"/>
    <w:basedOn w:val="DefaultParagraphFont"/>
    <w:uiPriority w:val="20"/>
    <w:qFormat/>
    <w:rsid w:val="006D1400"/>
    <w:rPr>
      <w:i/>
      <w:iCs/>
    </w:rPr>
  </w:style>
  <w:style w:type="paragraph" w:styleId="NormalWeb">
    <w:name w:val="Normal (Web)"/>
    <w:basedOn w:val="Normal"/>
    <w:uiPriority w:val="99"/>
    <w:semiHidden/>
    <w:unhideWhenUsed/>
    <w:rsid w:val="006D1400"/>
    <w:pPr>
      <w:spacing w:before="100" w:beforeAutospacing="1" w:after="100" w:afterAutospacing="1"/>
    </w:pPr>
    <w:rPr>
      <w:rFonts w:ascii="Times New Roman" w:eastAsia="Times New Roman" w:hAnsi="Times New Roman" w:cs="Times New Roman"/>
      <w:kern w:val="0"/>
      <w:lang w:eastAsia="en-GB"/>
      <w14:ligatures w14:val="none"/>
    </w:rPr>
  </w:style>
  <w:style w:type="paragraph" w:styleId="Footer">
    <w:name w:val="footer"/>
    <w:basedOn w:val="Normal"/>
    <w:link w:val="FooterChar"/>
    <w:uiPriority w:val="99"/>
    <w:unhideWhenUsed/>
    <w:rsid w:val="00A21AFB"/>
    <w:pPr>
      <w:tabs>
        <w:tab w:val="center" w:pos="4513"/>
        <w:tab w:val="right" w:pos="9026"/>
      </w:tabs>
    </w:pPr>
  </w:style>
  <w:style w:type="character" w:customStyle="1" w:styleId="FooterChar">
    <w:name w:val="Footer Char"/>
    <w:basedOn w:val="DefaultParagraphFont"/>
    <w:link w:val="Footer"/>
    <w:uiPriority w:val="99"/>
    <w:rsid w:val="00A21AFB"/>
  </w:style>
  <w:style w:type="character" w:styleId="PageNumber">
    <w:name w:val="page number"/>
    <w:basedOn w:val="DefaultParagraphFont"/>
    <w:uiPriority w:val="99"/>
    <w:semiHidden/>
    <w:unhideWhenUsed/>
    <w:rsid w:val="00A21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6748</Words>
  <Characters>38466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Marney</dc:creator>
  <cp:keywords/>
  <dc:description/>
  <cp:lastModifiedBy>Richard Marney</cp:lastModifiedBy>
  <cp:revision>2</cp:revision>
  <dcterms:created xsi:type="dcterms:W3CDTF">2026-08-19T14:29:00Z</dcterms:created>
  <dcterms:modified xsi:type="dcterms:W3CDTF">2026-08-19T14:29:00Z</dcterms:modified>
</cp:coreProperties>
</file>